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JSZC-321023-SWGC-G2026-0074</w:t>
      </w:r>
      <w:r>
        <w:rPr>
          <w:rFonts w:hint="eastAsia" w:ascii="Times New Roman" w:hAnsi="Times New Roman" w:eastAsia="宋体"/>
          <w:b/>
          <w:bCs/>
          <w:color w:val="auto"/>
          <w:sz w:val="36"/>
          <w:highlight w:val="none"/>
          <w:lang w:eastAsia="zh-CN"/>
        </w:rPr>
        <w:t xml:space="preserve">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b/>
          <w:bCs/>
          <w:color w:val="auto"/>
          <w:sz w:val="36"/>
          <w:highlight w:val="none"/>
          <w:lang w:eastAsia="zh-CN"/>
        </w:rPr>
      </w:pPr>
      <w:r>
        <w:rPr>
          <w:rFonts w:hint="eastAsia" w:ascii="Times New Roman" w:hAnsi="Times New Roman"/>
          <w:b/>
          <w:bCs/>
          <w:color w:val="auto"/>
          <w:sz w:val="36"/>
          <w:highlight w:val="none"/>
          <w:lang w:eastAsia="zh-CN"/>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b/>
          <w:bCs/>
          <w:color w:val="auto"/>
          <w:sz w:val="36"/>
          <w:highlight w:val="none"/>
          <w:lang w:eastAsia="zh-CN"/>
        </w:rPr>
        <w:t xml:space="preserve">宝应县安宜镇、西安丰镇政府购买居家养老服务项目</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default" w:ascii="Times New Roman" w:hAnsi="Times New Roman"/>
          <w:b/>
          <w:bCs/>
          <w:color w:val="auto"/>
          <w:sz w:val="36"/>
          <w:highlight w:val="none"/>
          <w:lang w:val="en-US" w:eastAsia="zh-CN"/>
        </w:rPr>
        <w:t xml:space="preserve">06</w:t>
      </w:r>
      <w:r>
        <w:rPr>
          <w:rFonts w:hint="eastAsia" w:ascii="Times New Roman" w:hAnsi="Times New Roman" w:eastAsia="宋体"/>
          <w:b/>
          <w:bCs/>
          <w:color w:val="auto"/>
          <w:sz w:val="36"/>
          <w:highlight w:val="none"/>
        </w:rPr>
        <w:t xml:space="preserve">月</w:t>
      </w:r>
      <w:r>
        <w:rPr>
          <w:rFonts w:hint="default" w:ascii="Times New Roman" w:hAnsi="Times New Roman"/>
          <w:b/>
          <w:bCs/>
          <w:color w:val="auto"/>
          <w:sz w:val="36"/>
          <w:highlight w:val="none"/>
          <w:lang w:val="en-US" w:eastAsia="zh-CN"/>
        </w:rPr>
        <w:t xml:space="preserve">09</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99"/>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90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90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90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90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90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35</w:t>
      </w:r>
      <w:r>
        <w:rPr>
          <w:rFonts w:ascii="Times New Roman" w:hAnsi="Times New Roman" w:eastAsia="宋体"/>
          <w:color w:val="auto"/>
          <w:sz w:val="30"/>
          <w:szCs w:val="30"/>
          <w:highlight w:val="none"/>
        </w:rPr>
        <w:fldChar w:fldCharType="end"/>
      </w:r>
      <w:r/>
    </w:p>
    <w:p>
      <w:pPr>
        <w:pStyle w:val="90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40</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883"/>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3"/>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宝应县民政局</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olor w:val="auto"/>
          <w:highlight w:val="none"/>
          <w:lang w:eastAsia="zh-CN"/>
        </w:rPr>
        <w:t xml:space="preserve">宝应县安宜镇、西安丰镇政府购买居家养老服务项目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JSZC-321023-SWGC-G2026-0074</w:t>
      </w:r>
      <w:r>
        <w:rPr>
          <w:rFonts w:hint="eastAsia" w:ascii="Times New Roman" w:hAnsi="Times New Roman" w:eastAsia="宋体"/>
          <w:color w:val="auto"/>
          <w:szCs w:val="21"/>
          <w:highlight w:val="none"/>
          <w:lang w:eastAsia="zh-CN"/>
        </w:rPr>
        <w:t xml:space="preserve">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宝应县安宜镇、西安丰镇政府购买居家养老服务项目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cs="宋体"/>
          <w:color w:val="auto"/>
          <w:highlight w:val="none"/>
          <w:u w:val="single"/>
          <w:lang w:eastAsia="zh-CN"/>
        </w:rPr>
        <w:t xml:space="preserve">“扬州市政府采购网”、“江苏省政府采购网”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cs="宋体"/>
          <w:bCs/>
          <w:color w:val="auto"/>
          <w:highlight w:val="none"/>
          <w:u w:val="single"/>
        </w:rPr>
        <w:t xml:space="preserve">2026年0</w:t>
      </w:r>
      <w:r>
        <w:rPr>
          <w:rFonts w:hint="default" w:ascii="Times New Roman" w:hAnsi="Times New Roman" w:cs="宋体"/>
          <w:bCs/>
          <w:color w:val="auto"/>
          <w:highlight w:val="none"/>
          <w:u w:val="single"/>
          <w:lang w:val="en-US"/>
        </w:rPr>
        <w:t xml:space="preserve">6</w:t>
      </w:r>
      <w:r>
        <w:rPr>
          <w:rFonts w:hint="eastAsia" w:ascii="Times New Roman" w:hAnsi="Times New Roman" w:cs="宋体"/>
          <w:bCs/>
          <w:color w:val="auto"/>
          <w:highlight w:val="none"/>
          <w:u w:val="single"/>
        </w:rPr>
        <w:t xml:space="preserve">月</w:t>
      </w:r>
      <w:r>
        <w:rPr>
          <w:rFonts w:hint="default" w:ascii="Times New Roman" w:hAnsi="Times New Roman" w:cs="宋体"/>
          <w:bCs/>
          <w:color w:val="auto"/>
          <w:highlight w:val="none"/>
          <w:u w:val="single"/>
          <w:lang w:val="en-US"/>
        </w:rPr>
        <w:t xml:space="preserve">30</w:t>
      </w:r>
      <w:r>
        <w:rPr>
          <w:rFonts w:hint="eastAsia" w:ascii="Times New Roman" w:hAnsi="Times New Roman" w:cs="宋体"/>
          <w:bCs/>
          <w:color w:val="auto"/>
          <w:highlight w:val="none"/>
          <w:u w:val="single"/>
        </w:rPr>
        <w:t xml:space="preserve">日下午3:00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02"/>
      <w:r/>
      <w:bookmarkStart w:id="3" w:name="_Toc38985263"/>
      <w:r/>
      <w:bookmarkStart w:id="4" w:name="_Toc28359079"/>
      <w:r/>
      <w:bookmarkStart w:id="5" w:name="_Toc35393621"/>
      <w:r/>
      <w:bookmarkStart w:id="6" w:name="_Toc35393790"/>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JSZC-321023-SWGC-G2026-0074</w:t>
      </w:r>
      <w:r>
        <w:rPr>
          <w:rFonts w:hint="eastAsia" w:ascii="Times New Roman" w:hAnsi="Times New Roman" w:eastAsia="宋体"/>
          <w:color w:val="auto"/>
          <w:szCs w:val="21"/>
          <w:highlight w:val="none"/>
          <w:lang w:eastAsia="zh-CN"/>
        </w:rPr>
        <w:t xml:space="preserve">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color w:val="auto"/>
          <w:highlight w:val="none"/>
          <w:lang w:eastAsia="zh-CN"/>
        </w:rPr>
        <w:t xml:space="preserve">宝应县安宜镇、西安丰镇政府购买居家养老服务项目</w:t>
      </w:r>
      <w:bookmarkEnd w:id="7"/>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cs="宋体"/>
          <w:color w:val="auto"/>
          <w:highlight w:val="none"/>
          <w:lang w:val="en-US" w:eastAsia="zh-CN"/>
        </w:rPr>
        <w:t xml:space="preserve">324.510001万元</w:t>
      </w:r>
      <w:r>
        <w:rPr>
          <w:rFonts w:hint="eastAsia" w:ascii="Times New Roman" w:hAnsi="Times New Roman" w:eastAsia="宋体" w:cs="宋体"/>
          <w:color w:val="auto"/>
          <w:highlight w:val="none"/>
        </w:rPr>
        <w:t xml:space="preserve">。</w:t>
      </w:r>
      <w:r/>
    </w:p>
    <w:p>
      <w:pPr>
        <w:pStyle w:val="924"/>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w:t>
      </w:r>
      <w:r>
        <w:rPr>
          <w:rFonts w:hint="eastAsia" w:ascii="Times New Roman" w:eastAsia="宋体" w:cs="宋体"/>
          <w:color w:val="auto"/>
          <w:sz w:val="21"/>
          <w:szCs w:val="22"/>
          <w:highlight w:val="none"/>
          <w:lang w:val="en-US" w:eastAsia="zh-CN" w:bidi="ar-SA"/>
        </w:rPr>
        <w:t xml:space="preserve">为</w:t>
      </w:r>
      <w:r>
        <w:rPr>
          <w:rFonts w:hint="eastAsia" w:ascii="Times New Roman" w:hAnsi="Times New Roman" w:eastAsia="宋体" w:cs="宋体"/>
          <w:color w:val="auto"/>
          <w:sz w:val="21"/>
          <w:szCs w:val="22"/>
          <w:highlight w:val="none"/>
          <w:lang w:val="en-US" w:eastAsia="zh-CN" w:bidi="ar-SA"/>
        </w:rPr>
        <w:t xml:space="preserve">26.5元/小时，报价超过最高限价的为无效响应文件。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w:t>
      </w:r>
      <w:r>
        <w:rPr>
          <w:rFonts w:hint="eastAsia" w:ascii="Times New Roman" w:hAnsi="Times New Roman" w:eastAsia="宋体" w:cs="宋体"/>
          <w:color w:val="auto"/>
          <w:highlight w:val="none"/>
          <w:lang w:val="en-US" w:eastAsia="zh-CN"/>
        </w:rPr>
        <w:t xml:space="preserve">三</w:t>
      </w:r>
      <w:r>
        <w:rPr>
          <w:rFonts w:hint="eastAsia" w:ascii="Times New Roman" w:hAnsi="Times New Roman" w:eastAsia="宋体" w:cs="宋体"/>
          <w:color w:val="auto"/>
          <w:highlight w:val="none"/>
        </w:rPr>
        <w:t xml:space="preserve">章</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38985264"/>
      <w:r/>
      <w:bookmarkStart w:id="9" w:name="_Toc28359080"/>
      <w:r/>
      <w:bookmarkStart w:id="10" w:name="_Toc28359003"/>
      <w:r/>
      <w:bookmarkStart w:id="11" w:name="_Toc35393622"/>
      <w:r/>
      <w:bookmarkStart w:id="12" w:name="_Toc35393791"/>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35393792"/>
      <w:r/>
      <w:bookmarkStart w:id="14" w:name="_Toc35393623"/>
      <w:r/>
      <w:bookmarkStart w:id="15" w:name="_Toc38985265"/>
      <w:r/>
      <w:bookmarkStart w:id="16" w:name="_Toc28359004"/>
      <w:r/>
      <w:bookmarkStart w:id="17" w:name="_Toc28359081"/>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05"/>
      <w:r/>
      <w:bookmarkStart w:id="19" w:name="_Toc28359082"/>
      <w:r/>
      <w:bookmarkStart w:id="20" w:name="_Toc35393793"/>
      <w:r/>
      <w:bookmarkStart w:id="21" w:name="_Toc35393624"/>
      <w:r/>
      <w:bookmarkStart w:id="22" w:name="_Toc38985266"/>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cs="宋体"/>
          <w:color w:val="auto"/>
          <w:highlight w:val="none"/>
        </w:rPr>
        <w:t xml:space="preserve">2026年06月</w:t>
      </w:r>
      <w:r>
        <w:rPr>
          <w:rFonts w:hint="default" w:ascii="Times New Roman" w:hAnsi="Times New Roman" w:cs="宋体"/>
          <w:color w:val="auto"/>
          <w:highlight w:val="none"/>
          <w:lang w:val="en-US"/>
        </w:rPr>
        <w:t xml:space="preserve">30</w:t>
      </w:r>
      <w:r>
        <w:rPr>
          <w:rFonts w:hint="eastAsia" w:ascii="Times New Roman" w:hAnsi="Times New Roman" w:cs="宋体"/>
          <w:color w:val="auto"/>
          <w:highlight w:val="none"/>
        </w:rPr>
        <w:t xml:space="preserve">日下午3:00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28359007"/>
      <w:r/>
      <w:bookmarkStart w:id="24" w:name="_Toc35393794"/>
      <w:r/>
      <w:bookmarkStart w:id="25" w:name="_Toc28359084"/>
      <w:r/>
      <w:bookmarkStart w:id="26" w:name="_Toc35393625"/>
      <w:r/>
      <w:bookmarkStart w:id="27" w:name="_Toc38985267"/>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626"/>
      <w:r/>
      <w:bookmarkStart w:id="29" w:name="_Toc35393795"/>
      <w:r/>
      <w:bookmarkStart w:id="30"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85"/>
      <w:r/>
      <w:bookmarkStart w:id="32" w:name="_Toc38985269"/>
      <w:r/>
      <w:bookmarkStart w:id="33" w:name="_Toc28359008"/>
      <w:r/>
      <w:bookmarkStart w:id="34" w:name="_Toc35393796"/>
      <w:r/>
      <w:bookmarkStart w:id="35" w:name="_Toc35393627"/>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bCs/>
          <w:color w:val="auto"/>
          <w:szCs w:val="21"/>
          <w:highlight w:val="none"/>
          <w:lang w:eastAsia="zh-CN"/>
        </w:rPr>
        <w:t xml:space="preserve">“扬州市政府采购网”、“江苏省政府采购网”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宝应县民政局</w:t>
      </w:r>
      <w:r/>
    </w:p>
    <w:p>
      <w:pPr>
        <w:ind w:firstLine="420"/>
        <w:jc w:val="left"/>
        <w:pageBreakBefore w:val="0"/>
        <w:spacing w:line="360" w:lineRule="auto"/>
        <w:rPr>
          <w:rFonts w:hint="eastAsia" w:ascii="Times New Roman" w:hAnsi="Times New Roman" w:eastAsia="宋体"/>
          <w:color w:val="auto"/>
          <w:szCs w:val="21"/>
          <w:highlight w:val="none"/>
          <w:lang w:val="en-US" w:eastAsia="zh-CN"/>
        </w:rPr>
      </w:pPr>
      <w:r/>
      <w:bookmarkStart w:id="38" w:name="_Toc28359086"/>
      <w:r/>
      <w:bookmarkStart w:id="39" w:name="_Toc28359009"/>
      <w:r>
        <w:rPr>
          <w:rFonts w:hint="eastAsia" w:ascii="Times New Roman" w:hAnsi="Times New Roman" w:eastAsia="宋体" w:cs="宋体"/>
          <w:color w:val="auto"/>
          <w:highlight w:val="none"/>
        </w:rPr>
        <w:t xml:space="preserve">地址：</w:t>
      </w:r>
      <w:r>
        <w:rPr>
          <w:rFonts w:hint="eastAsia" w:ascii="Times New Roman" w:hAnsi="Times New Roman"/>
          <w:color w:val="auto"/>
          <w:szCs w:val="21"/>
          <w:highlight w:val="none"/>
          <w:lang w:eastAsia="zh-CN"/>
        </w:rPr>
        <w:t xml:space="preserve">宝应县叶挺路351号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cs="Times New Roman"/>
          <w:color w:val="auto"/>
          <w:szCs w:val="21"/>
          <w:highlight w:val="none"/>
          <w:lang w:eastAsia="zh-CN"/>
        </w:rPr>
        <w:t xml:space="preserve">王悦</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cs="Times New Roman"/>
          <w:color w:val="auto"/>
          <w:szCs w:val="21"/>
          <w:highlight w:val="none"/>
          <w:lang w:val="en-US" w:eastAsia="zh-CN"/>
        </w:rPr>
        <w:t xml:space="preserve">0514-88275031</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地址：</w:t>
      </w:r>
      <w:r>
        <w:rPr>
          <w:rFonts w:hint="eastAsia" w:ascii="Times New Roman" w:hAnsi="Times New Roman"/>
          <w:color w:val="auto"/>
          <w:szCs w:val="21"/>
          <w:highlight w:val="none"/>
          <w:lang w:eastAsia="zh-CN"/>
        </w:rPr>
        <w:t xml:space="preserve">宝应县经济开发区金湾路208号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olor w:val="auto"/>
          <w:szCs w:val="21"/>
          <w:highlight w:val="none"/>
          <w:lang w:eastAsia="zh-CN"/>
        </w:rPr>
        <w:t xml:space="preserve">黄炎</w:t>
      </w:r>
      <w:r/>
    </w:p>
    <w:p>
      <w:pPr>
        <w:ind w:firstLine="420"/>
        <w:pageBreakBefore w:val="0"/>
        <w:spacing w:line="360" w:lineRule="auto"/>
        <w:rPr>
          <w:rFonts w:hint="default" w:ascii="Times New Roman" w:hAnsi="Times New Roman" w:eastAsia="宋体" w:cs="宋体"/>
          <w:color w:val="auto"/>
          <w:highlight w:val="none"/>
          <w:u w:val="single"/>
          <w:lang w:val="en-US"/>
        </w:rPr>
      </w:pPr>
      <w:r>
        <w:rPr>
          <w:rFonts w:hint="eastAsia" w:ascii="Times New Roman" w:hAnsi="Times New Roman" w:eastAsia="宋体" w:cs="宋体"/>
          <w:color w:val="auto"/>
          <w:highlight w:val="none"/>
        </w:rPr>
        <w:t xml:space="preserve">联系方式：</w:t>
      </w:r>
      <w:r>
        <w:rPr>
          <w:rFonts w:hint="default" w:ascii="Times New Roman" w:hAnsi="Times New Roman"/>
          <w:color w:val="auto"/>
          <w:szCs w:val="21"/>
          <w:highlight w:val="none"/>
          <w:lang w:val="en-US"/>
        </w:rPr>
        <w:t xml:space="preserve">18105278928</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2026年</w:t>
      </w:r>
      <w:r>
        <w:rPr>
          <w:rFonts w:hint="default" w:ascii="Times New Roman" w:hAnsi="Times New Roman"/>
          <w:color w:val="auto"/>
          <w:szCs w:val="21"/>
          <w:highlight w:val="none"/>
          <w:lang w:val="en-US" w:eastAsia="zh-CN"/>
        </w:rPr>
        <w:t xml:space="preserve">06</w:t>
      </w:r>
      <w:r>
        <w:rPr>
          <w:rFonts w:hint="eastAsia" w:ascii="Times New Roman" w:hAnsi="Times New Roman" w:eastAsia="宋体"/>
          <w:color w:val="auto"/>
          <w:szCs w:val="21"/>
          <w:highlight w:val="none"/>
        </w:rPr>
        <w:t xml:space="preserve">月</w:t>
      </w:r>
      <w:r>
        <w:rPr>
          <w:rFonts w:hint="default" w:ascii="Times New Roman" w:hAnsi="Times New Roman"/>
          <w:color w:val="auto"/>
          <w:szCs w:val="21"/>
          <w:highlight w:val="none"/>
          <w:lang w:val="en-US" w:eastAsia="zh-CN"/>
        </w:rPr>
        <w:t xml:space="preserve">09</w:t>
      </w:r>
      <w:bookmarkStart w:id="99" w:name="_GoBack"/>
      <w:r/>
      <w:bookmarkEnd w:id="99"/>
      <w:r>
        <w:rPr>
          <w:rFonts w:hint="eastAsia" w:ascii="Times New Roman" w:hAnsi="Times New Roman" w:eastAsia="宋体"/>
          <w:color w:val="auto"/>
          <w:szCs w:val="21"/>
          <w:highlight w:val="none"/>
        </w:rPr>
        <w:t xml:space="preserve">日</w:t>
      </w:r>
      <w:r/>
    </w:p>
    <w:p>
      <w:pPr>
        <w:pStyle w:val="883"/>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3"/>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JSZC-321023-SWGC-G2026-0074</w:t>
      </w:r>
      <w:r>
        <w:rPr>
          <w:rFonts w:hint="eastAsia" w:ascii="Times New Roman" w:hAnsi="Times New Roman" w:eastAsia="宋体"/>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w:t>
      </w:r>
      <w:r>
        <w:rPr>
          <w:rFonts w:hint="default" w:ascii="Times New Roman" w:hAnsi="Times New Roman"/>
          <w:b/>
          <w:bCs/>
          <w:color w:val="auto"/>
          <w:szCs w:val="21"/>
          <w:highlight w:val="none"/>
          <w:lang w:val="en-US"/>
        </w:rPr>
        <w:t xml:space="preserve">2</w:t>
      </w:r>
      <w:r>
        <w:rPr>
          <w:rFonts w:hint="eastAsia" w:ascii="Times New Roman" w:hAnsi="Times New Roman"/>
          <w:b/>
          <w:bCs/>
          <w:color w:val="auto"/>
          <w:szCs w:val="21"/>
          <w:highlight w:val="none"/>
          <w:lang w:eastAsia="zh-CN"/>
        </w:rPr>
        <w:t xml:space="preserve">本次采购代理费由中标人支付，采购代理服务费按照关于印发《江苏省政府采购代理服务收费指导意见》的通知（苏政采协【2024】20号）规定计取，本次采购代理服务费在中标供应商领取中标通知书时支付。</w:t>
      </w:r>
      <w:r/>
    </w:p>
    <w:p>
      <w:pPr>
        <w:ind w:firstLine="420"/>
        <w:jc w:val="left"/>
        <w:spacing w:line="360" w:lineRule="auto"/>
        <w:rPr>
          <w:rFonts w:hint="eastAsia" w:ascii="宋体" w:hAnsi="宋体" w:cs="宋体"/>
          <w:bCs/>
        </w:rPr>
      </w:pPr>
      <w:r>
        <w:rPr>
          <w:rFonts w:hint="eastAsia" w:ascii="宋体" w:hAnsi="宋体" w:cs="宋体"/>
          <w:bCs/>
        </w:rPr>
        <w:t xml:space="preserve">（</w:t>
      </w:r>
      <w:r>
        <w:rPr>
          <w:rFonts w:ascii="Times New Roman" w:hAnsi="Times New Roman" w:cs="Times New Roman"/>
          <w:bCs/>
        </w:rPr>
        <w:t xml:space="preserve">1</w:t>
      </w:r>
      <w:r>
        <w:rPr>
          <w:rFonts w:hint="eastAsia" w:ascii="宋体" w:hAnsi="宋体" w:cs="宋体"/>
          <w:bCs/>
        </w:rPr>
        <w:t xml:space="preserve">）代理服务费以人民币支付； </w:t>
      </w:r>
      <w:r/>
    </w:p>
    <w:p>
      <w:pPr>
        <w:ind w:firstLine="420"/>
        <w:jc w:val="left"/>
        <w:spacing w:line="360" w:lineRule="auto"/>
        <w:rPr>
          <w:rFonts w:hint="eastAsia" w:cs="宋体"/>
          <w:b w:val="0"/>
          <w:bCs w:val="0"/>
          <w:color w:val="auto"/>
          <w:szCs w:val="21"/>
        </w:rPr>
      </w:pPr>
      <w:r>
        <w:rPr>
          <w:rFonts w:hint="eastAsia" w:ascii="宋体" w:hAnsi="宋体" w:cs="宋体"/>
          <w:bCs/>
        </w:rPr>
        <w:t xml:space="preserve">（</w:t>
      </w:r>
      <w:r>
        <w:rPr>
          <w:rFonts w:ascii="Times New Roman" w:hAnsi="Times New Roman" w:cs="Times New Roman"/>
          <w:bCs/>
        </w:rPr>
        <w:t xml:space="preserve">2</w:t>
      </w:r>
      <w:r>
        <w:rPr>
          <w:rFonts w:hint="eastAsia" w:ascii="宋体" w:hAnsi="宋体" w:cs="宋体"/>
          <w:bCs/>
        </w:rPr>
        <w:t xml:space="preserve">）代理服务费一次性以电汇、转账等非现金形式支付； </w:t>
      </w:r>
      <w:r/>
    </w:p>
    <w:p>
      <w:pPr>
        <w:ind w:firstLine="630"/>
        <w:spacing w:line="360" w:lineRule="auto"/>
        <w:rPr>
          <w:rFonts w:cs="宋体"/>
          <w:b w:val="0"/>
          <w:bCs w:val="0"/>
          <w:color w:val="auto"/>
          <w:szCs w:val="21"/>
        </w:rPr>
      </w:pPr>
      <w:r>
        <w:rPr>
          <w:rFonts w:hint="eastAsia" w:cs="宋体"/>
          <w:b w:val="0"/>
          <w:bCs w:val="0"/>
          <w:color w:val="auto"/>
          <w:szCs w:val="21"/>
        </w:rPr>
        <w:t xml:space="preserve">代理服务费开户银行：</w:t>
      </w:r>
      <w:r>
        <w:rPr>
          <w:rFonts w:hint="eastAsia" w:cs="宋体"/>
          <w:b w:val="0"/>
          <w:bCs w:val="0"/>
          <w:color w:val="auto"/>
          <w:szCs w:val="21"/>
        </w:rPr>
        <w:t xml:space="preserve">中国工商银行扬州雍华府支行</w:t>
      </w:r>
      <w:r/>
    </w:p>
    <w:p>
      <w:pPr>
        <w:ind w:firstLine="630"/>
        <w:spacing w:line="360" w:lineRule="auto"/>
        <w:rPr>
          <w:rFonts w:cs="宋体"/>
          <w:b w:val="0"/>
          <w:bCs w:val="0"/>
          <w:color w:val="auto"/>
          <w:szCs w:val="21"/>
        </w:rPr>
      </w:pPr>
      <w:r>
        <w:rPr>
          <w:rFonts w:hint="eastAsia" w:cs="宋体"/>
          <w:b w:val="0"/>
          <w:bCs w:val="0"/>
          <w:color w:val="auto"/>
          <w:szCs w:val="21"/>
        </w:rPr>
        <w:t xml:space="preserve">开户名称：江苏苏维工程管理有限公司</w:t>
      </w:r>
      <w:r/>
    </w:p>
    <w:p>
      <w:pPr>
        <w:ind w:firstLine="630"/>
        <w:spacing w:line="360" w:lineRule="auto"/>
        <w:rPr>
          <w:rFonts w:hint="eastAsia" w:ascii="Times New Roman" w:hAnsi="Times New Roman" w:eastAsia="宋体"/>
          <w:b w:val="0"/>
          <w:bCs w:val="0"/>
          <w:color w:val="auto"/>
          <w:szCs w:val="21"/>
          <w:highlight w:val="none"/>
        </w:rPr>
      </w:pPr>
      <w:r>
        <w:rPr>
          <w:rFonts w:hint="eastAsia" w:cs="宋体"/>
          <w:b w:val="0"/>
          <w:bCs w:val="0"/>
          <w:color w:val="auto"/>
          <w:szCs w:val="21"/>
        </w:rPr>
        <w:t xml:space="preserve">开户帐号：</w:t>
      </w:r>
      <w:r>
        <w:rPr>
          <w:rFonts w:hint="eastAsia" w:cs="宋体"/>
          <w:b w:val="0"/>
          <w:bCs w:val="0"/>
          <w:color w:val="auto"/>
          <w:szCs w:val="21"/>
        </w:rPr>
        <w:t xml:space="preserve">1108020819100000612</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default" w:ascii="Times New Roman" w:hAnsi="Times New Roman"/>
          <w:b/>
          <w:bCs/>
          <w:color w:val="auto"/>
          <w:szCs w:val="21"/>
          <w:highlight w:val="none"/>
          <w:lang w:val="en-US"/>
        </w:rPr>
        <w:t xml:space="preserve">3</w:t>
      </w:r>
      <w:r>
        <w:rPr>
          <w:rFonts w:hint="eastAsia" w:ascii="Times New Roman" w:hAnsi="Times New Roman" w:eastAsia="宋体"/>
          <w:b/>
          <w:bCs/>
          <w:color w:val="auto"/>
          <w:szCs w:val="21"/>
          <w:highlight w:val="none"/>
        </w:rPr>
        <w:t xml:space="preserve">本次专家评审费由采购人支付，专家评审费按宝财购(2020)14号《关于进一步规范宝应县政府采购专家评审费标准的通知》执行。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w:t>
      </w:r>
      <w:r>
        <w:rPr>
          <w:rFonts w:hint="eastAsia" w:ascii="Times New Roman" w:hAnsi="Times New Roman"/>
          <w:bCs/>
          <w:color w:val="auto"/>
          <w:szCs w:val="21"/>
          <w:highlight w:val="none"/>
          <w:lang w:eastAsia="zh-CN"/>
        </w:rPr>
        <w:t xml:space="preserve">“扬州市政府采购网”、“江苏省政府采购网”</w:t>
      </w:r>
      <w:r>
        <w:rPr>
          <w:rFonts w:hint="eastAsia" w:ascii="Times New Roman" w:hAnsi="Times New Roman" w:eastAsia="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16938541"/>
      <w:r/>
      <w:bookmarkStart w:id="43" w:name="_Toc462564084"/>
      <w:r/>
      <w:bookmarkStart w:id="44" w:name="_Toc20823297"/>
      <w:r/>
      <w:bookmarkStart w:id="45" w:name="_Toc513029225"/>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513029227"/>
      <w:r/>
      <w:bookmarkStart w:id="50" w:name="_Toc20823299"/>
      <w:r/>
      <w:bookmarkStart w:id="51" w:name="_Toc16938543"/>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513029228"/>
      <w:r/>
      <w:bookmarkStart w:id="53" w:name="_Toc16938544"/>
      <w:r/>
      <w:bookmarkStart w:id="54" w:name="_Toc20823300"/>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w:t>
      </w:r>
      <w:r>
        <w:rPr>
          <w:rFonts w:hint="eastAsia" w:ascii="Times New Roman" w:hAnsi="Times New Roman"/>
          <w:bCs/>
          <w:color w:val="auto"/>
          <w:szCs w:val="21"/>
          <w:highlight w:val="none"/>
          <w:lang w:eastAsia="zh-CN"/>
        </w:rPr>
        <w:t xml:space="preserve">“扬州市政府采购网”、“江苏省政府采购网”</w:t>
      </w:r>
      <w:r>
        <w:rPr>
          <w:rFonts w:hint="eastAsia" w:ascii="Times New Roman" w:hAnsi="Times New Roman" w:eastAsia="宋体"/>
          <w:bCs/>
          <w:color w:val="auto"/>
          <w:szCs w:val="21"/>
          <w:highlight w:val="none"/>
        </w:rPr>
        <w:t xml:space="preserve">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6"/>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left="420" w:firstLine="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33、其他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83"/>
        <w:jc w:val="center"/>
        <w:pageBreakBefore w:val="0"/>
        <w:spacing w:before="0" w:after="0" w:line="360" w:lineRule="auto"/>
        <w:rPr>
          <w:rFonts w:ascii="Times New Roman" w:hAnsi="Times New Roman" w:eastAsia="宋体"/>
          <w:color w:val="auto"/>
          <w:sz w:val="36"/>
          <w:szCs w:val="36"/>
          <w:highlight w:val="none"/>
        </w:rPr>
      </w:pPr>
      <w:r/>
      <w:bookmarkStart w:id="55" w:name="_Toc13939"/>
      <w:r/>
      <w:bookmarkStart w:id="56" w:name="_Toc5520417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5"/>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宝应县安宜镇、西安丰镇政府购买居家养老服务项目</w:t>
      </w:r>
      <w:r>
        <w:rPr>
          <w:rFonts w:hint="eastAsia" w:ascii="Times New Roman" w:hAnsi="Times New Roman" w:eastAsia="宋体"/>
          <w:color w:val="auto"/>
          <w:sz w:val="21"/>
          <w:highlight w:val="none"/>
        </w:rPr>
        <w:t xml:space="preserve">               </w:t>
      </w:r>
      <w:r/>
    </w:p>
    <w:p>
      <w:pPr>
        <w:pStyle w:val="89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JSZC-321023-SWGC-G2026-0074</w:t>
      </w:r>
      <w:r>
        <w:rPr>
          <w:rFonts w:hint="eastAsia" w:ascii="Times New Roman" w:hAnsi="Times New Roman" w:eastAsia="宋体"/>
          <w:color w:val="auto"/>
          <w:sz w:val="21"/>
          <w:highlight w:val="none"/>
          <w:lang w:eastAsia="zh-CN"/>
        </w:rPr>
        <w:t xml:space="preserve">号</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89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宝应县民政局</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895"/>
        <w:ind w:firstLine="420"/>
        <w:pageBreakBefore w:val="0"/>
        <w:spacing w:line="360" w:lineRule="auto"/>
        <w:rPr>
          <w:rFonts w:hint="default" w:ascii="Times New Roman" w:hAnsi="Times New Roman" w:eastAsia="宋体"/>
          <w:color w:val="auto"/>
          <w:sz w:val="21"/>
          <w:highlight w:val="none"/>
          <w:lang w:val="en-US" w:eastAsia="zh-CN"/>
        </w:rPr>
      </w:pPr>
      <w:r>
        <w:rPr>
          <w:rFonts w:hint="eastAsia" w:ascii="Times New Roman" w:hAnsi="Times New Roman" w:eastAsia="宋体"/>
          <w:color w:val="auto"/>
          <w:sz w:val="21"/>
          <w:highlight w:val="none"/>
        </w:rPr>
        <w:t xml:space="preserve">1.4 履行时间（期限）：一年（2026年7月1日-2027年6月30日）</w:t>
      </w:r>
      <w:r>
        <w:rPr>
          <w:rFonts w:hint="eastAsia" w:ascii="Times New Roman" w:hAnsi="Times New Roman"/>
          <w:color w:val="auto"/>
          <w:sz w:val="21"/>
          <w:highlight w:val="none"/>
          <w:lang w:eastAsia="zh-CN"/>
        </w:rPr>
        <w:t xml:space="preserve">，</w:t>
      </w:r>
      <w:r>
        <w:rPr>
          <w:rFonts w:hint="eastAsia" w:ascii="Times New Roman" w:hAnsi="Times New Roman"/>
          <w:color w:val="auto"/>
          <w:sz w:val="21"/>
          <w:highlight w:val="none"/>
          <w:lang w:val="en-US" w:eastAsia="zh-CN"/>
        </w:rPr>
        <w:t xml:space="preserve">如因政策调整原因本项目需要终止，甲方提前一个月书面告知乙方，本合同自动终止。</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89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本合同金额为（大写）：____________________圆（_______________元）人民币。</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（1）签订合同后，乙方向甲方开具发票，甲方自收到发票后10个工作日内支付合同总价的30%；</w:t>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按季付款：当前季度结束后，经甲方考评无缺陷，甲方支付上一季度费用，乙方向甲方开具发票，甲方自收到发票后10个工作日内支付。乙方服务老人名单由甲方提供，并得到甲方的认可。（注：因每年服务人数会根据县民政局指标变动而有变化，最终支付款以政府购买的实际服务老人人数、次数、时长为基数进行计算，服务数量及质量以系统数据为准）</w:t>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（3）季度确认资金为服务人次乘以服务单价（每月）进行计算。</w:t>
      </w:r>
      <w:r/>
    </w:p>
    <w:p>
      <w:pPr>
        <w:ind w:firstLine="420"/>
        <w:keepLines w:val="0"/>
        <w:keepNext w:val="0"/>
        <w:pageBreakBefore w:val="0"/>
        <w:spacing w:line="360" w:lineRule="auto"/>
        <w:widowControl w:val="o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（4）服务单价需经甲方认可。</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73"/>
        <w:numPr>
          <w:ilvl w:val="0"/>
          <w:numId w:val="7"/>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3"/>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73"/>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73"/>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895"/>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7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89"/>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宝应县民政局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83"/>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宝应县安宜镇、西安丰镇政府购买居家养老服务项目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其他未列明行业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bookmarkEnd w:id="60"/>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bidi="zh-TW"/>
        </w:rPr>
      </w:pPr>
      <w:r>
        <w:rPr>
          <w:rFonts w:hint="eastAsia" w:ascii="宋体" w:hAnsi="宋体" w:eastAsia="宋体" w:cs="宋体"/>
          <w:b/>
          <w:bCs/>
          <w:sz w:val="21"/>
          <w:szCs w:val="21"/>
          <w:highlight w:val="none"/>
          <w:lang w:val="en-US" w:eastAsia="zh-CN" w:bidi="zh-TW"/>
        </w:rPr>
        <w:t xml:space="preserve">二</w:t>
      </w:r>
      <w:r>
        <w:rPr>
          <w:rFonts w:hint="eastAsia" w:ascii="宋体" w:hAnsi="宋体" w:eastAsia="宋体" w:cs="宋体"/>
          <w:b/>
          <w:bCs/>
          <w:sz w:val="21"/>
          <w:szCs w:val="21"/>
          <w:highlight w:val="none"/>
          <w:lang w:bidi="zh-TW"/>
        </w:rPr>
        <w:t xml:space="preserve">、项目简介</w:t>
      </w:r>
      <w:r/>
    </w:p>
    <w:p>
      <w:pPr>
        <w:pStyle w:val="969"/>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1.宝应县安宜镇、西安丰镇</w:t>
      </w:r>
      <w:r>
        <w:rPr>
          <w:rFonts w:hint="eastAsia" w:cs="宋体"/>
          <w:sz w:val="21"/>
          <w:szCs w:val="21"/>
          <w:highlight w:val="none"/>
          <w:lang w:val="en-US" w:eastAsia="zh-CN"/>
        </w:rPr>
        <w:t xml:space="preserve">享受</w:t>
      </w:r>
      <w:r>
        <w:rPr>
          <w:rFonts w:hint="eastAsia" w:ascii="宋体" w:hAnsi="宋体" w:eastAsia="宋体" w:cs="宋体"/>
          <w:sz w:val="21"/>
          <w:szCs w:val="21"/>
          <w:highlight w:val="none"/>
          <w:lang w:val="en-US" w:eastAsia="zh-CN"/>
        </w:rPr>
        <w:t xml:space="preserve">服务老人约8797人，其中困难老人（城乡散居特困老人、低保家庭老人、低收入空巢独居老人、计划生育特殊困难家庭老人，困难的重点优抚对象和有特殊贡献（如市级以上劳模等）的老人以及其他困难老人）中半失能、失能约93人按照每人每月100元的标准给予养老服务补贴，高龄和困难自理老人约8704人按照每人30元的标准给予养老补贴。</w:t>
      </w:r>
      <w:r>
        <w:rPr>
          <w:rFonts w:hint="eastAsia" w:cs="宋体"/>
          <w:sz w:val="21"/>
          <w:szCs w:val="21"/>
          <w:highlight w:val="none"/>
          <w:lang w:val="en-US" w:eastAsia="zh-CN"/>
        </w:rPr>
        <w:t xml:space="preserve">（以实际服务人数为准）</w:t>
      </w:r>
      <w:r/>
    </w:p>
    <w:p>
      <w:pPr>
        <w:pStyle w:val="969"/>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cs="宋体"/>
          <w:sz w:val="21"/>
          <w:szCs w:val="21"/>
          <w:highlight w:val="none"/>
          <w:lang w:val="en-US" w:eastAsia="zh-CN"/>
        </w:rPr>
        <w:t xml:space="preserve">困难老人中</w:t>
      </w:r>
      <w:r>
        <w:rPr>
          <w:rFonts w:hint="eastAsia" w:ascii="宋体" w:hAnsi="宋体" w:eastAsia="宋体" w:cs="宋体"/>
          <w:sz w:val="21"/>
          <w:szCs w:val="21"/>
          <w:highlight w:val="none"/>
          <w:lang w:val="en-US" w:eastAsia="zh-CN"/>
        </w:rPr>
        <w:t xml:space="preserve">失能、半失能人员。每月上门服务3次，每次1小时，按照每人每月100元标准确定政府购买居家养老服务。</w:t>
      </w:r>
      <w:r/>
    </w:p>
    <w:p>
      <w:pPr>
        <w:pStyle w:val="969"/>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3.高龄老人（80周岁以上）</w:t>
      </w:r>
      <w:r>
        <w:rPr>
          <w:rFonts w:hint="eastAsia" w:cs="宋体"/>
          <w:sz w:val="21"/>
          <w:szCs w:val="21"/>
          <w:highlight w:val="none"/>
          <w:lang w:val="en-US" w:eastAsia="zh-CN"/>
        </w:rPr>
        <w:t xml:space="preserve">和困难老人中自理人员</w:t>
      </w:r>
      <w:r>
        <w:rPr>
          <w:rFonts w:hint="eastAsia" w:ascii="宋体" w:hAnsi="宋体" w:eastAsia="宋体" w:cs="宋体"/>
          <w:sz w:val="21"/>
          <w:szCs w:val="21"/>
          <w:highlight w:val="none"/>
          <w:lang w:val="en-US" w:eastAsia="zh-CN"/>
        </w:rPr>
        <w:t xml:space="preserve">。每月上门服务1小时，按照每人每月30元标准确定政府购买居家养老服务。</w:t>
      </w:r>
      <w:r>
        <w:rPr>
          <w:rFonts w:hint="eastAsia" w:cs="宋体"/>
          <w:sz w:val="21"/>
          <w:szCs w:val="21"/>
          <w:highlight w:val="none"/>
          <w:lang w:val="en-US" w:eastAsia="zh-CN"/>
        </w:rPr>
        <w:t xml:space="preserve">享受半失能、失能</w:t>
      </w:r>
      <w:r>
        <w:rPr>
          <w:rFonts w:hint="eastAsia" w:ascii="宋体" w:hAnsi="宋体" w:eastAsia="宋体" w:cs="宋体"/>
          <w:sz w:val="21"/>
          <w:szCs w:val="21"/>
          <w:highlight w:val="none"/>
          <w:lang w:val="en-US" w:eastAsia="zh-CN"/>
        </w:rPr>
        <w:t xml:space="preserve">特困</w:t>
      </w:r>
      <w:r>
        <w:rPr>
          <w:rFonts w:hint="eastAsia" w:cs="宋体"/>
          <w:sz w:val="21"/>
          <w:szCs w:val="21"/>
          <w:highlight w:val="none"/>
          <w:lang w:val="en-US" w:eastAsia="zh-CN"/>
        </w:rPr>
        <w:t xml:space="preserve">人员照料护理补贴人员</w:t>
      </w:r>
      <w:r>
        <w:rPr>
          <w:rFonts w:hint="eastAsia" w:ascii="宋体" w:hAnsi="宋体" w:eastAsia="宋体" w:cs="宋体"/>
          <w:sz w:val="21"/>
          <w:szCs w:val="21"/>
          <w:highlight w:val="none"/>
          <w:lang w:val="en-US" w:eastAsia="zh-CN"/>
        </w:rPr>
        <w:t xml:space="preserve">，暂不重复享受</w:t>
      </w:r>
      <w:r>
        <w:rPr>
          <w:rFonts w:hint="eastAsia" w:cs="宋体"/>
          <w:sz w:val="21"/>
          <w:szCs w:val="21"/>
          <w:highlight w:val="none"/>
          <w:lang w:val="en-US" w:eastAsia="zh-CN"/>
        </w:rPr>
        <w:t xml:space="preserve">（涉及高质量考核人员除外）</w:t>
      </w:r>
      <w:r>
        <w:rPr>
          <w:rFonts w:hint="eastAsia" w:ascii="宋体" w:hAnsi="宋体" w:eastAsia="宋体" w:cs="宋体"/>
          <w:sz w:val="21"/>
          <w:szCs w:val="21"/>
          <w:highlight w:val="none"/>
          <w:lang w:val="en-US" w:eastAsia="zh-CN"/>
        </w:rPr>
        <w:t xml:space="preserve">。</w:t>
      </w:r>
      <w:r/>
    </w:p>
    <w:p>
      <w:pPr>
        <w:pStyle w:val="969"/>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3.本项目服务周期内，</w:t>
      </w:r>
      <w:r>
        <w:rPr>
          <w:rFonts w:hint="eastAsia" w:cs="宋体"/>
          <w:sz w:val="21"/>
          <w:szCs w:val="21"/>
          <w:highlight w:val="none"/>
          <w:lang w:val="en-US" w:eastAsia="zh-CN"/>
        </w:rPr>
        <w:t xml:space="preserve">每季度开展服务回访</w:t>
      </w:r>
      <w:r>
        <w:rPr>
          <w:rFonts w:hint="eastAsia" w:ascii="宋体" w:hAnsi="宋体" w:eastAsia="宋体" w:cs="宋体"/>
          <w:sz w:val="21"/>
          <w:szCs w:val="21"/>
          <w:highlight w:val="none"/>
          <w:lang w:val="en-US" w:eastAsia="zh-CN"/>
        </w:rPr>
        <w:t xml:space="preserve">，对于发生重大安全事故等情况的，予以解除合同。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val="en-US" w:eastAsia="zh-CN" w:bidi="zh-TW"/>
        </w:rPr>
        <w:t xml:space="preserve">三</w:t>
      </w:r>
      <w:r>
        <w:rPr>
          <w:rFonts w:hint="eastAsia" w:ascii="宋体" w:hAnsi="宋体" w:eastAsia="宋体" w:cs="宋体"/>
          <w:sz w:val="21"/>
          <w:szCs w:val="21"/>
          <w:highlight w:val="none"/>
          <w:lang w:bidi="zh-TW"/>
        </w:rPr>
        <w:t xml:space="preserve">、服务范围</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bidi="zh-TW"/>
        </w:rPr>
        <w:t xml:space="preserve">（一）提升服务质量，做强专业能力</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1.</w:t>
      </w:r>
      <w:r>
        <w:rPr>
          <w:rFonts w:hint="eastAsia" w:ascii="宋体" w:hAnsi="宋体" w:eastAsia="宋体" w:cs="宋体"/>
          <w:sz w:val="21"/>
          <w:szCs w:val="21"/>
          <w:highlight w:val="none"/>
          <w:lang w:val="zh-TW" w:bidi="zh-TW"/>
        </w:rPr>
        <w:t xml:space="preserve">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服务，拓展养老服务自费市场。</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2.</w:t>
      </w:r>
      <w:r>
        <w:rPr>
          <w:rFonts w:hint="eastAsia" w:ascii="宋体" w:hAnsi="宋体" w:eastAsia="宋体" w:cs="宋体"/>
          <w:sz w:val="21"/>
          <w:szCs w:val="21"/>
          <w:highlight w:val="none"/>
          <w:lang w:val="zh-TW" w:bidi="zh-TW"/>
        </w:rPr>
        <w:t xml:space="preserve">丰富养老服务内容。在做好老年人服务需求调查的基础上，结合当地老年人实际，进一步丰富居家养老上门服务内容，根据大多数老年人的日常生活习惯，为老年人提供更多的服务项目菜单，组合各类服务项目。服务</w:t>
      </w:r>
      <w:r>
        <w:rPr>
          <w:rFonts w:hint="eastAsia" w:ascii="宋体" w:hAnsi="宋体" w:eastAsia="宋体" w:cs="宋体"/>
          <w:sz w:val="21"/>
          <w:szCs w:val="21"/>
          <w:highlight w:val="none"/>
          <w:lang w:val="zh-TW" w:eastAsia="zh-CN" w:bidi="zh-TW"/>
        </w:rPr>
        <w:t xml:space="preserve">内容</w:t>
      </w:r>
      <w:r>
        <w:rPr>
          <w:rFonts w:hint="eastAsia" w:ascii="宋体" w:hAnsi="宋体" w:eastAsia="宋体" w:cs="宋体"/>
          <w:sz w:val="21"/>
          <w:szCs w:val="21"/>
          <w:highlight w:val="none"/>
          <w:lang w:val="zh-TW" w:bidi="zh-TW"/>
        </w:rPr>
        <w:t xml:space="preserve">包括家政、医疗、康复、护理、助餐、助浴等多方面，覆盖老年人基础性需求，让老年人真正在居家服务中得到实惠，解决家庭养老难题。</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3.</w:t>
      </w:r>
      <w:r>
        <w:rPr>
          <w:rFonts w:hint="eastAsia" w:ascii="宋体" w:hAnsi="宋体" w:eastAsia="宋体" w:cs="宋体"/>
          <w:sz w:val="21"/>
          <w:szCs w:val="21"/>
          <w:highlight w:val="none"/>
          <w:lang w:val="zh-TW" w:bidi="zh-TW"/>
        </w:rPr>
        <w:t xml:space="preserve">提升服务人员能力。服务商要对服务人员集中开展文明礼仪和业务技能的培训，培训不合格人员不得上岗，不断提高服务人员综合素质和服务形象。服务商不仅要有一定规模的</w:t>
      </w:r>
      <w:r>
        <w:rPr>
          <w:rFonts w:hint="eastAsia" w:ascii="宋体" w:hAnsi="宋体" w:cs="宋体"/>
          <w:sz w:val="21"/>
          <w:szCs w:val="21"/>
          <w:highlight w:val="none"/>
          <w:lang w:val="en-US" w:eastAsia="zh-CN" w:bidi="zh-TW"/>
        </w:rPr>
        <w:t xml:space="preserve">持证</w:t>
      </w:r>
      <w:r>
        <w:rPr>
          <w:rFonts w:hint="eastAsia" w:ascii="宋体" w:hAnsi="宋体" w:eastAsia="宋体" w:cs="宋体"/>
          <w:sz w:val="21"/>
          <w:szCs w:val="21"/>
          <w:highlight w:val="none"/>
          <w:lang w:val="zh-TW" w:bidi="zh-TW"/>
        </w:rPr>
        <w:t xml:space="preserve">养老护理人员，还要有一定数量的、从事其他专业的人员，如理发师、足疗师、水电工、家电维修等。</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bidi="zh-TW"/>
        </w:rPr>
        <w:t xml:space="preserve">（二）加强运营管理，做优服务过程</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1.</w:t>
      </w:r>
      <w:r>
        <w:rPr>
          <w:rFonts w:hint="eastAsia" w:ascii="宋体" w:hAnsi="宋体" w:eastAsia="宋体" w:cs="宋体"/>
          <w:sz w:val="21"/>
          <w:szCs w:val="21"/>
          <w:highlight w:val="none"/>
          <w:lang w:val="zh-TW" w:bidi="zh-TW"/>
        </w:rPr>
        <w:t xml:space="preserve">保证服务质量。根据招投标中标单价，确定购买服务对象每月服务时长、服务次数、服务质量等。自理老人上门服务一般每月不少于1次；半</w:t>
      </w:r>
      <w:r>
        <w:rPr>
          <w:rFonts w:hint="eastAsia" w:ascii="宋体" w:hAnsi="宋体" w:cs="宋体"/>
          <w:sz w:val="21"/>
          <w:szCs w:val="21"/>
          <w:highlight w:val="none"/>
          <w:lang w:val="en-US" w:eastAsia="zh-CN" w:bidi="zh-TW"/>
        </w:rPr>
        <w:t xml:space="preserve">失能</w:t>
      </w:r>
      <w:r>
        <w:rPr>
          <w:rFonts w:hint="eastAsia" w:ascii="宋体" w:hAnsi="宋体" w:cs="宋体"/>
          <w:sz w:val="21"/>
          <w:szCs w:val="21"/>
          <w:highlight w:val="none"/>
          <w:lang w:val="zh-TW" w:eastAsia="zh-CN" w:bidi="zh-TW"/>
        </w:rPr>
        <w:t xml:space="preserve">、</w:t>
      </w:r>
      <w:r>
        <w:rPr>
          <w:rFonts w:hint="eastAsia" w:ascii="宋体" w:hAnsi="宋体" w:eastAsia="宋体" w:cs="宋体"/>
          <w:sz w:val="21"/>
          <w:szCs w:val="21"/>
          <w:highlight w:val="none"/>
          <w:lang w:val="zh-TW" w:bidi="zh-TW"/>
        </w:rPr>
        <w:t xml:space="preserve">失能老人每月不少于3次。居家养老上门服务时长单次达不到</w:t>
      </w:r>
      <w:r>
        <w:rPr>
          <w:rFonts w:hint="eastAsia" w:ascii="宋体" w:hAnsi="宋体" w:cs="宋体"/>
          <w:sz w:val="21"/>
          <w:szCs w:val="21"/>
          <w:highlight w:val="none"/>
          <w:lang w:val="en-US" w:eastAsia="zh-CN" w:bidi="zh-TW"/>
        </w:rPr>
        <w:t xml:space="preserve">约定的服务时长的</w:t>
      </w:r>
      <w:r>
        <w:rPr>
          <w:rFonts w:hint="eastAsia" w:ascii="宋体" w:hAnsi="宋体" w:eastAsia="宋体" w:cs="宋体"/>
          <w:sz w:val="21"/>
          <w:szCs w:val="21"/>
          <w:highlight w:val="none"/>
          <w:lang w:val="zh-TW" w:eastAsia="zh-CN" w:bidi="zh-TW"/>
        </w:rPr>
        <w:t xml:space="preserve">，</w:t>
      </w:r>
      <w:r>
        <w:rPr>
          <w:rFonts w:hint="eastAsia" w:ascii="宋体" w:hAnsi="宋体" w:eastAsia="宋体" w:cs="宋体"/>
          <w:sz w:val="21"/>
          <w:szCs w:val="21"/>
          <w:highlight w:val="none"/>
          <w:lang w:val="zh-TW" w:bidi="zh-TW"/>
        </w:rPr>
        <w:t xml:space="preserve">均以废单处理，需重新上门服务。若超过一个季度，老人不需要服务商提供服务的，视为自动放弃，服务补贴不累计到下一季度。</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2.</w:t>
      </w:r>
      <w:r>
        <w:rPr>
          <w:rFonts w:hint="eastAsia" w:ascii="宋体" w:hAnsi="宋体" w:eastAsia="宋体" w:cs="宋体"/>
          <w:sz w:val="21"/>
          <w:szCs w:val="21"/>
          <w:highlight w:val="none"/>
          <w:lang w:val="zh-TW" w:bidi="zh-TW"/>
        </w:rPr>
        <w:t xml:space="preserve">规范服务流程。服务商接到辖区内老人服务需求后，服务人员使用智慧养老服务APP上门服务，服务前签入，</w:t>
      </w:r>
      <w:r>
        <w:rPr>
          <w:rFonts w:hint="eastAsia" w:ascii="宋体" w:hAnsi="宋体" w:cs="宋体"/>
          <w:sz w:val="21"/>
          <w:szCs w:val="21"/>
          <w:highlight w:val="none"/>
          <w:lang w:val="en-US" w:eastAsia="zh-CN" w:bidi="zh-TW"/>
        </w:rPr>
        <w:t xml:space="preserve">服务过程中</w:t>
      </w:r>
      <w:r>
        <w:rPr>
          <w:rFonts w:hint="eastAsia" w:ascii="宋体" w:hAnsi="宋体" w:eastAsia="宋体" w:cs="宋体"/>
          <w:sz w:val="21"/>
          <w:szCs w:val="21"/>
          <w:highlight w:val="none"/>
          <w:lang w:val="zh-TW" w:bidi="zh-TW"/>
        </w:rPr>
        <w:t xml:space="preserve">上传服务照片</w:t>
      </w:r>
      <w:r>
        <w:rPr>
          <w:rFonts w:hint="eastAsia" w:ascii="宋体" w:hAnsi="宋体" w:cs="宋体"/>
          <w:sz w:val="21"/>
          <w:szCs w:val="21"/>
          <w:highlight w:val="none"/>
          <w:lang w:val="zh-TW" w:eastAsia="zh-CN" w:bidi="zh-TW"/>
        </w:rPr>
        <w:t xml:space="preserve">，</w:t>
      </w:r>
      <w:r>
        <w:rPr>
          <w:rFonts w:hint="eastAsia" w:ascii="宋体" w:hAnsi="宋体" w:eastAsia="宋体" w:cs="宋体"/>
          <w:sz w:val="21"/>
          <w:szCs w:val="21"/>
          <w:highlight w:val="none"/>
          <w:lang w:val="zh-TW" w:bidi="zh-TW"/>
        </w:rPr>
        <w:t xml:space="preserve">服务结束后服务对象签字</w:t>
      </w:r>
      <w:r>
        <w:rPr>
          <w:rFonts w:hint="eastAsia" w:ascii="宋体" w:hAnsi="宋体" w:cs="宋体"/>
          <w:sz w:val="21"/>
          <w:szCs w:val="21"/>
          <w:highlight w:val="none"/>
          <w:lang w:val="zh-TW" w:eastAsia="zh-CN" w:bidi="zh-TW"/>
        </w:rPr>
        <w:t xml:space="preserve">、</w:t>
      </w:r>
      <w:r>
        <w:rPr>
          <w:rFonts w:hint="eastAsia" w:ascii="宋体" w:hAnsi="宋体" w:eastAsia="宋体" w:cs="宋体"/>
          <w:sz w:val="21"/>
          <w:szCs w:val="21"/>
          <w:highlight w:val="none"/>
          <w:lang w:val="zh-TW" w:bidi="zh-TW"/>
        </w:rPr>
        <w:t xml:space="preserve">签出；最后服务商需要对所有完成的工单进行</w:t>
      </w:r>
      <w:r>
        <w:rPr>
          <w:rFonts w:hint="eastAsia" w:ascii="宋体" w:hAnsi="宋体" w:cs="宋体"/>
          <w:sz w:val="21"/>
          <w:szCs w:val="21"/>
          <w:highlight w:val="none"/>
          <w:lang w:val="en-US" w:eastAsia="zh-CN" w:bidi="zh-TW"/>
        </w:rPr>
        <w:t xml:space="preserve">工单质量和</w:t>
      </w:r>
      <w:r>
        <w:rPr>
          <w:rFonts w:hint="eastAsia" w:ascii="宋体" w:hAnsi="宋体" w:eastAsia="宋体" w:cs="宋体"/>
          <w:sz w:val="21"/>
          <w:szCs w:val="21"/>
          <w:highlight w:val="none"/>
          <w:lang w:val="zh-TW" w:bidi="zh-TW"/>
        </w:rPr>
        <w:t xml:space="preserve">满意度回访。</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3.</w:t>
      </w:r>
      <w:r>
        <w:rPr>
          <w:rFonts w:hint="eastAsia" w:ascii="宋体" w:hAnsi="宋体" w:eastAsia="宋体" w:cs="宋体"/>
          <w:sz w:val="21"/>
          <w:szCs w:val="21"/>
          <w:highlight w:val="none"/>
          <w:lang w:val="zh-TW" w:bidi="zh-TW"/>
        </w:rPr>
        <w:t xml:space="preserve">提升服务形象。上门服务人员要统一着装，</w:t>
      </w:r>
      <w:r>
        <w:rPr>
          <w:rFonts w:hint="eastAsia" w:ascii="宋体" w:hAnsi="宋体" w:eastAsia="宋体" w:cs="宋体"/>
          <w:sz w:val="21"/>
          <w:szCs w:val="21"/>
          <w:highlight w:val="none"/>
          <w:lang w:val="zh-TW" w:eastAsia="zh-CN" w:bidi="zh-TW"/>
        </w:rPr>
        <w:t xml:space="preserve">佩戴</w:t>
      </w:r>
      <w:r>
        <w:rPr>
          <w:rFonts w:hint="eastAsia" w:ascii="宋体" w:hAnsi="宋体" w:eastAsia="宋体" w:cs="宋体"/>
          <w:sz w:val="21"/>
          <w:szCs w:val="21"/>
          <w:highlight w:val="none"/>
          <w:lang w:val="zh-TW" w:bidi="zh-TW"/>
        </w:rPr>
        <w:t xml:space="preserve">工作牌</w:t>
      </w:r>
      <w:r>
        <w:rPr>
          <w:rFonts w:hint="eastAsia" w:ascii="宋体" w:hAnsi="宋体" w:eastAsia="宋体" w:cs="宋体"/>
          <w:sz w:val="21"/>
          <w:szCs w:val="21"/>
          <w:highlight w:val="none"/>
          <w:lang w:val="zh-TW" w:eastAsia="zh-CN" w:bidi="zh-TW"/>
        </w:rPr>
        <w:t xml:space="preserve">，</w:t>
      </w:r>
      <w:r>
        <w:rPr>
          <w:rFonts w:hint="eastAsia" w:ascii="宋体" w:hAnsi="宋体" w:eastAsia="宋体" w:cs="宋体"/>
          <w:sz w:val="21"/>
          <w:szCs w:val="21"/>
          <w:highlight w:val="none"/>
          <w:lang w:val="zh-TW" w:bidi="zh-TW"/>
        </w:rPr>
        <w:t xml:space="preserve">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4.</w:t>
      </w:r>
      <w:r>
        <w:rPr>
          <w:rFonts w:hint="eastAsia" w:ascii="宋体" w:hAnsi="宋体" w:eastAsia="宋体" w:cs="宋体"/>
          <w:sz w:val="21"/>
          <w:szCs w:val="21"/>
          <w:highlight w:val="none"/>
          <w:lang w:val="zh-TW" w:bidi="zh-TW"/>
        </w:rPr>
        <w:t xml:space="preserve">加强政府购买服务人员动态管理。及时做好居家养老上门服务对象的增减工作，对新增服务对象要做到“四个及时”，即：及时申报、及时审批、及时评估、及时服务。对接受服务中的老年人，要实现村（居）、服务人员、服务商、镇（区）、县五方信息互通有无，定期核实居家养老上门服务对象真实情况，如发现有老人过世、迁出或其他不符合服务条件的情况，应立即核销平台人员信息、停止提供服务，并上报村（居）和镇（区）进行复核增减。</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bidi="zh-TW"/>
        </w:rPr>
        <w:t xml:space="preserve">（三）强化监督管理，做大服务成效</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1.</w:t>
      </w:r>
      <w:r>
        <w:rPr>
          <w:rFonts w:hint="eastAsia" w:ascii="宋体" w:hAnsi="宋体" w:eastAsia="宋体" w:cs="宋体"/>
          <w:sz w:val="21"/>
          <w:szCs w:val="21"/>
          <w:highlight w:val="none"/>
          <w:lang w:val="zh-TW" w:bidi="zh-TW"/>
        </w:rPr>
        <w:t xml:space="preserve">服务商应具备服务监管能力。服务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镇（区）反馈结果。</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2.</w:t>
      </w:r>
      <w:r>
        <w:rPr>
          <w:rFonts w:hint="eastAsia" w:ascii="宋体" w:hAnsi="宋体" w:eastAsia="宋体" w:cs="宋体"/>
          <w:sz w:val="21"/>
          <w:szCs w:val="21"/>
          <w:highlight w:val="none"/>
          <w:lang w:val="zh-TW" w:bidi="zh-TW"/>
        </w:rPr>
        <w:t xml:space="preserve">镇（区）建立居家服务考核制度。各镇（区）要建立对服务商服务质量的考核评价制度，通过电话抽查、上门走访、</w:t>
      </w:r>
      <w:r>
        <w:rPr>
          <w:rFonts w:hint="eastAsia" w:ascii="宋体" w:hAnsi="宋体" w:eastAsia="宋体" w:cs="宋体"/>
          <w:sz w:val="21"/>
          <w:szCs w:val="21"/>
          <w:highlight w:val="none"/>
          <w:lang w:val="zh-TW" w:eastAsia="zh-CN" w:bidi="zh-TW"/>
        </w:rPr>
        <w:t xml:space="preserve">明察暗访</w:t>
      </w:r>
      <w:r>
        <w:rPr>
          <w:rFonts w:hint="eastAsia" w:ascii="宋体" w:hAnsi="宋体" w:eastAsia="宋体" w:cs="宋体"/>
          <w:sz w:val="21"/>
          <w:szCs w:val="21"/>
          <w:highlight w:val="none"/>
          <w:lang w:val="zh-TW" w:bidi="zh-TW"/>
        </w:rPr>
        <w:t xml:space="preserve">和座谈会等形式，听取社区干部、老人及老人家属的意见，加强对服务商的管理水平、服务能力、运营状况、服务满意度的监管，以科学严谨的考核方式，促进居家养老上门服务质量的提升。</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bidi="zh-TW"/>
        </w:rPr>
        <w:t xml:space="preserve">服务商有以下情形之一的，取消服务资格，并在近三年内不得参与全县范围内的居家养老服务：①向其他服务商转包的；②以向服务对象送实物等变通方式套取服务对象补贴资金的；③借助开展服务的机会向老年人推销保健产品的；④借助开展服务的机会向老年人集资、吸储等严重损害了老年人合法权益的；⑤中标后，不具备完成政府购买服务能力的；</w:t>
      </w:r>
      <w:r>
        <w:rPr>
          <w:rFonts w:hint="eastAsia" w:ascii="宋体" w:hAnsi="宋体" w:eastAsia="宋体" w:cs="宋体"/>
          <w:sz w:val="21"/>
          <w:szCs w:val="21"/>
          <w:highlight w:val="none"/>
          <w:lang w:val="zh-TW" w:bidi="zh-TW"/>
        </w:rPr>
        <w:fldChar w:fldCharType="begin"/>
      </w:r>
      <w:r>
        <w:rPr>
          <w:rFonts w:hint="eastAsia" w:ascii="宋体" w:hAnsi="宋体" w:eastAsia="宋体" w:cs="宋体"/>
          <w:sz w:val="21"/>
          <w:szCs w:val="21"/>
          <w:highlight w:val="none"/>
          <w:lang w:val="zh-TW" w:bidi="zh-TW"/>
        </w:rPr>
        <w:instrText xml:space="preserve"> = 6 \* GB3 </w:instrText>
      </w:r>
      <w:r>
        <w:rPr>
          <w:rFonts w:hint="eastAsia" w:ascii="宋体" w:hAnsi="宋体" w:eastAsia="宋体" w:cs="宋体"/>
          <w:sz w:val="21"/>
          <w:szCs w:val="21"/>
          <w:highlight w:val="none"/>
          <w:lang w:val="zh-TW" w:bidi="zh-TW"/>
        </w:rPr>
        <w:fldChar w:fldCharType="separate"/>
      </w:r>
      <w:r>
        <w:rPr>
          <w:rFonts w:hint="eastAsia" w:ascii="宋体" w:hAnsi="宋体" w:eastAsia="宋体" w:cs="宋体"/>
          <w:sz w:val="21"/>
          <w:szCs w:val="21"/>
          <w:highlight w:val="none"/>
          <w:lang w:val="zh-TW" w:bidi="zh-TW"/>
        </w:rPr>
        <w:t xml:space="preserve">⑥</w:t>
      </w:r>
      <w:r>
        <w:rPr>
          <w:rFonts w:hint="eastAsia" w:ascii="宋体" w:hAnsi="宋体" w:eastAsia="宋体" w:cs="宋体"/>
          <w:sz w:val="21"/>
          <w:szCs w:val="21"/>
          <w:highlight w:val="none"/>
          <w:lang w:val="zh-TW" w:bidi="zh-TW"/>
        </w:rPr>
        <w:fldChar w:fldCharType="end"/>
      </w:r>
      <w:r>
        <w:rPr>
          <w:rFonts w:hint="eastAsia" w:ascii="宋体" w:hAnsi="宋体" w:eastAsia="宋体" w:cs="宋体"/>
          <w:sz w:val="21"/>
          <w:szCs w:val="21"/>
          <w:highlight w:val="none"/>
          <w:lang w:val="zh-TW" w:bidi="zh-TW"/>
        </w:rPr>
        <w:t xml:space="preserve">服务商有其他违法行为的。</w:t>
      </w:r>
      <w:r>
        <w:rPr>
          <w:rFonts w:hint="eastAsia" w:ascii="宋体" w:hAnsi="宋体" w:eastAsia="宋体" w:cs="宋体"/>
          <w:sz w:val="21"/>
          <w:szCs w:val="21"/>
          <w:highlight w:val="none"/>
          <w:lang w:val="zh-TW" w:bidi="zh-TW"/>
        </w:rPr>
        <w:fldChar w:fldCharType="begin"/>
      </w:r>
      <w:r>
        <w:rPr>
          <w:rFonts w:hint="eastAsia" w:ascii="宋体" w:hAnsi="宋体" w:eastAsia="宋体" w:cs="宋体"/>
          <w:sz w:val="21"/>
          <w:szCs w:val="21"/>
          <w:highlight w:val="none"/>
          <w:lang w:val="zh-TW" w:bidi="zh-TW"/>
        </w:rPr>
        <w:instrText xml:space="preserve"> = 7 \* GB3 </w:instrText>
      </w:r>
      <w:r>
        <w:rPr>
          <w:rFonts w:hint="eastAsia" w:ascii="宋体" w:hAnsi="宋体" w:eastAsia="宋体" w:cs="宋体"/>
          <w:sz w:val="21"/>
          <w:szCs w:val="21"/>
          <w:highlight w:val="none"/>
          <w:lang w:val="zh-TW" w:bidi="zh-TW"/>
        </w:rPr>
        <w:fldChar w:fldCharType="separate"/>
      </w:r>
      <w:r>
        <w:rPr>
          <w:rFonts w:hint="eastAsia" w:ascii="宋体" w:hAnsi="宋体" w:eastAsia="宋体" w:cs="宋体"/>
          <w:sz w:val="21"/>
          <w:szCs w:val="21"/>
          <w:highlight w:val="none"/>
          <w:lang w:val="zh-TW" w:bidi="zh-TW"/>
        </w:rPr>
        <w:t xml:space="preserve">⑦</w:t>
      </w:r>
      <w:r>
        <w:rPr>
          <w:rFonts w:hint="eastAsia" w:ascii="宋体" w:hAnsi="宋体" w:eastAsia="宋体" w:cs="宋体"/>
          <w:sz w:val="21"/>
          <w:szCs w:val="21"/>
          <w:highlight w:val="none"/>
          <w:lang w:val="zh-TW" w:bidi="zh-TW"/>
        </w:rPr>
        <w:fldChar w:fldCharType="end"/>
      </w:r>
      <w:r>
        <w:rPr>
          <w:rFonts w:hint="eastAsia" w:ascii="宋体" w:hAnsi="宋体" w:eastAsia="宋体" w:cs="宋体"/>
          <w:sz w:val="21"/>
          <w:szCs w:val="21"/>
          <w:highlight w:val="none"/>
          <w:lang w:val="zh-TW" w:bidi="zh-TW"/>
        </w:rPr>
        <w:t xml:space="preserve">其他不利于合作的情况。</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eastAsia="zh-CN" w:bidi="zh-TW"/>
        </w:rPr>
        <w:t xml:space="preserve">3.</w:t>
      </w:r>
      <w:r>
        <w:rPr>
          <w:rFonts w:hint="eastAsia" w:ascii="宋体" w:hAnsi="宋体" w:eastAsia="宋体" w:cs="宋体"/>
          <w:sz w:val="21"/>
          <w:szCs w:val="21"/>
          <w:highlight w:val="none"/>
          <w:lang w:val="zh-TW" w:bidi="zh-TW"/>
        </w:rPr>
        <w:t xml:space="preserve">建立县级统一监管平台。进一步完善已有的智慧养老服务平台，各镇（区）服务商统一使用全县智慧养老服务信息平台，规范各服务商服务流程，同时对镇（区）服务平台管理使用人员进行业务培训指导，对服务质量进行电话回访和满意度调查，对资金使用情况进行核查，</w:t>
      </w:r>
      <w:r>
        <w:rPr>
          <w:rFonts w:hint="eastAsia" w:ascii="宋体" w:hAnsi="宋体" w:cs="宋体"/>
          <w:sz w:val="21"/>
          <w:szCs w:val="21"/>
          <w:highlight w:val="none"/>
          <w:lang w:val="en-US" w:eastAsia="zh-CN" w:bidi="zh-TW"/>
        </w:rPr>
        <w:t xml:space="preserve">季度</w:t>
      </w:r>
      <w:r>
        <w:rPr>
          <w:rFonts w:hint="eastAsia" w:ascii="宋体" w:hAnsi="宋体" w:eastAsia="宋体" w:cs="宋体"/>
          <w:sz w:val="21"/>
          <w:szCs w:val="21"/>
          <w:highlight w:val="none"/>
          <w:lang w:val="zh-TW" w:bidi="zh-TW"/>
        </w:rPr>
        <w:t xml:space="preserve">回访率不低于日工单的</w:t>
      </w:r>
      <w:r>
        <w:rPr>
          <w:rFonts w:hint="eastAsia" w:ascii="宋体" w:hAnsi="宋体" w:cs="宋体"/>
          <w:sz w:val="21"/>
          <w:szCs w:val="21"/>
          <w:highlight w:val="none"/>
          <w:lang w:val="en-US" w:eastAsia="zh-CN" w:bidi="zh-TW"/>
        </w:rPr>
        <w:t xml:space="preserve">5</w:t>
      </w:r>
      <w:r>
        <w:rPr>
          <w:rFonts w:hint="eastAsia" w:ascii="宋体" w:hAnsi="宋体" w:eastAsia="宋体" w:cs="宋体"/>
          <w:sz w:val="21"/>
          <w:szCs w:val="21"/>
          <w:highlight w:val="none"/>
          <w:lang w:val="zh-TW" w:bidi="zh-TW"/>
        </w:rPr>
        <w:t xml:space="preserve">%。各镇（区）要将县平台回访和满意度调查结果纳入对服务商的考核范畴内，形成县、镇（区）、村（居）、服务商四位一体共同监管的闭环监督体系，确保服务行为规范、有序、务实、高效，维护广大老年人的权益。</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三、</w:t>
      </w:r>
      <w:r>
        <w:rPr>
          <w:rFonts w:hint="eastAsia" w:ascii="宋体" w:hAnsi="宋体" w:eastAsia="宋体" w:cs="宋体"/>
          <w:b/>
          <w:sz w:val="21"/>
          <w:szCs w:val="21"/>
          <w:highlight w:val="none"/>
          <w:lang w:bidi="zh-TW"/>
        </w:rPr>
        <w:t xml:space="preserve">养老服务内容与要求</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服务要求：应建立老年人的服务预案，明确服务内容并定期进行检查，并记录检查结果（包含内容、时间、地点、人员、落实情况等）。为老年人提供的服务完成率达100%，老年人或监护人满意率≧90%。</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服务内容：</w:t>
      </w:r>
      <w:r/>
    </w:p>
    <w:p>
      <w:pPr>
        <w:ind w:firstLine="420"/>
        <w:jc w:val="center"/>
        <w:keepLines w:val="0"/>
        <w:keepNext w:val="0"/>
        <w:pageBreakBefore w:val="0"/>
        <w:spacing w:line="360" w:lineRule="auto"/>
        <w:widowControl w:val="off"/>
        <w:rPr>
          <w:rFonts w:hint="eastAsia" w:ascii="宋体" w:hAnsi="宋体" w:eastAsia="宋体" w:cs="宋体"/>
          <w:sz w:val="21"/>
          <w:szCs w:val="21"/>
          <w:highlight w:val="none"/>
          <w:lang w:val="zh-TW" w:bidi="zh-TW"/>
        </w:rPr>
      </w:pPr>
      <w:r>
        <w:rPr>
          <w:rFonts w:hint="eastAsia" w:ascii="宋体" w:hAnsi="宋体" w:eastAsia="宋体" w:cs="宋体"/>
          <w:sz w:val="21"/>
          <w:szCs w:val="21"/>
          <w:highlight w:val="none"/>
          <w:lang w:val="zh-TW" w:bidi="zh-TW"/>
        </w:rPr>
        <w:t xml:space="preserve">宝应县政府购买居家养老上门服务目录</w:t>
      </w:r>
      <w:r/>
    </w:p>
    <w:tbl>
      <w:tblPr>
        <w:tblStyle w:val="889"/>
        <w:tblW w:w="995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6656"/>
        <w:gridCol w:w="2025"/>
      </w:tblGrid>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服务类别</w:t>
            </w:r>
            <w:r/>
          </w:p>
        </w:tc>
        <w:tc>
          <w:tcPr>
            <w:tcW w:w="6656"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基本服务内容</w:t>
            </w:r>
            <w:r/>
          </w:p>
        </w:tc>
        <w:tc>
          <w:tcPr>
            <w:tcW w:w="2025"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服务人员要求</w:t>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助餐服务</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提供上门送餐及上门做餐等服务。</w:t>
            </w:r>
            <w:r/>
          </w:p>
        </w:tc>
        <w:tc>
          <w:tcPr>
            <w:tcW w:w="202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由养老护理员提供服务。</w:t>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助浴服务</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提供或外出辅助洗浴、搓背保健、足部护理等服务。</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助洁服务</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居室清洁、家电清洗、指甲修剪、理发修面、采耳、厨卫清洁、储物整理等服务。</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洗涤服务</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衣物、被单、窗帘等洗涤</w:t>
            </w:r>
            <w:r>
              <w:rPr>
                <w:rFonts w:hint="eastAsia" w:ascii="宋体" w:hAnsi="宋体" w:eastAsia="宋体" w:cs="宋体"/>
                <w:sz w:val="21"/>
                <w:szCs w:val="21"/>
                <w:highlight w:val="none"/>
                <w:lang w:eastAsia="zh-CN" w:bidi="zh-TW"/>
              </w:rPr>
              <w:t xml:space="preserve">后</w:t>
            </w:r>
            <w:r>
              <w:rPr>
                <w:rFonts w:hint="eastAsia" w:ascii="宋体" w:hAnsi="宋体" w:eastAsia="宋体" w:cs="宋体"/>
                <w:sz w:val="21"/>
                <w:szCs w:val="21"/>
                <w:highlight w:val="none"/>
                <w:lang w:bidi="zh-TW"/>
              </w:rPr>
              <w:t xml:space="preserve">晾晒。洗涤方式分为上门洗涤和集中送洗，大件、贵重衣物可采用集中送洗方式。</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陪伴就医</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代预约挂号、陪诊、协助与医生沟通、取药、缴费、陪同往返、协助出行等。</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代办服务</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代预约挂号、银行打薄、排队；代缴纳水电、煤气、话费等；代收寄快递；代领物品；代送物品；代买生活必需品；协助报修设备及物品；协助申请相关事务等。</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精神慰藉</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根据老年人需求与其交谈，及时掌握老年人心理的变化，对普遍性问题和极端的个人问题</w:t>
            </w:r>
            <w:r>
              <w:rPr>
                <w:rFonts w:hint="eastAsia" w:ascii="宋体" w:hAnsi="宋体" w:eastAsia="宋体" w:cs="宋体"/>
                <w:sz w:val="21"/>
                <w:szCs w:val="21"/>
                <w:highlight w:val="none"/>
                <w:lang w:eastAsia="zh-CN" w:bidi="zh-TW"/>
              </w:rPr>
              <w:t xml:space="preserve">给予</w:t>
            </w:r>
            <w:r>
              <w:rPr>
                <w:rFonts w:hint="eastAsia" w:ascii="宋体" w:hAnsi="宋体" w:eastAsia="宋体" w:cs="宋体"/>
                <w:sz w:val="21"/>
                <w:szCs w:val="21"/>
                <w:highlight w:val="none"/>
                <w:lang w:bidi="zh-TW"/>
              </w:rPr>
              <w:t xml:space="preserve">适度干预，满足老年人心理需要，促进老年人心理健康。制定精神慰藉服务危机处理程序，通过评估及时发现心理问题，按程序处理问题。</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助学服务</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协助老年人参加兴趣活动、老年大学、技能培训、各类讲座。</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转介服务</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包括转介医疗、护理、康复、法律援助、社工服务、义工服务、入住养老机构等服务。</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临终关怀</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对临终者和家属的心理、社会照顾。协助临终者和家属完成殡葬事宜。</w:t>
            </w:r>
            <w:r/>
          </w:p>
        </w:tc>
        <w:tc>
          <w:tcPr>
            <w:tcW w:w="2025"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安全援助</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根据老年人或家属的要求，提供定期上门探视。提供水电煤等的检测，排除安全隐患；遇恶劣天气提醒服务对象注意安全。</w:t>
            </w:r>
            <w:r/>
          </w:p>
        </w:tc>
        <w:tc>
          <w:tcPr>
            <w:tcW w:w="2025"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具有专业经验的工作人员提供服务。</w:t>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康复护理</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健康咨询、康复咨询、康复指引；器材锻炼、康复训练、康复理疗。</w:t>
            </w:r>
            <w:r/>
          </w:p>
        </w:tc>
        <w:tc>
          <w:tcPr>
            <w:tcW w:w="2025"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由康复治疗师、</w:t>
            </w:r>
            <w:r>
              <w:rPr>
                <w:rFonts w:hint="eastAsia" w:ascii="宋体" w:hAnsi="宋体" w:eastAsia="宋体" w:cs="宋体"/>
                <w:sz w:val="21"/>
                <w:szCs w:val="21"/>
                <w:highlight w:val="none"/>
                <w:lang w:eastAsia="zh-CN" w:bidi="zh-TW"/>
              </w:rPr>
              <w:t xml:space="preserve">执业</w:t>
            </w:r>
            <w:r>
              <w:rPr>
                <w:rFonts w:hint="eastAsia" w:ascii="宋体" w:hAnsi="宋体" w:eastAsia="宋体" w:cs="宋体"/>
                <w:sz w:val="21"/>
                <w:szCs w:val="21"/>
                <w:highlight w:val="none"/>
                <w:lang w:bidi="zh-TW"/>
              </w:rPr>
              <w:t xml:space="preserve">护士、执业医师提供服务。</w:t>
            </w:r>
            <w:r/>
          </w:p>
        </w:tc>
      </w:tr>
      <w:tr>
        <w:trPr/>
        <w:tc>
          <w:tcPr>
            <w:tcW w:w="1277"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医疗保健</w:t>
            </w:r>
            <w:r/>
          </w:p>
        </w:tc>
        <w:tc>
          <w:tcPr>
            <w:tcW w:w="6656" w:type="dxa"/>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建立健康档案，定期跟踪健康情况；提供健康咨询、饮食咨询、营养指导、锻炼指导、活动指导服务；用药指导与用药观察；健康宣教、保健知识讲座、保健学习；常规生理指数监测；健康体检，基础医疗护理等服务。</w:t>
            </w:r>
            <w:r/>
          </w:p>
        </w:tc>
        <w:tc>
          <w:tcPr>
            <w:tcW w:w="2025" w:type="dxa"/>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bidi="zh-TW"/>
              </w:rPr>
              <w:t xml:space="preserve">有专业医疗机构、医护人员提供服务。</w:t>
            </w:r>
            <w:r/>
          </w:p>
        </w:tc>
      </w:tr>
    </w:tbl>
    <w:p>
      <w:pPr>
        <w:pStyle w:val="933"/>
        <w:ind w:left="108" w:right="169"/>
        <w:keepLines w:val="0"/>
        <w:keepNext w:val="0"/>
        <w:pageBreakBefore w:val="0"/>
        <w:spacing w:before="3" w:line="360" w:lineRule="auto"/>
        <w:widowControl w:val="off"/>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r>
      <w:r/>
    </w:p>
    <w:p>
      <w:pPr>
        <w:pStyle w:val="933"/>
        <w:ind w:left="108" w:right="169"/>
        <w:keepLines w:val="0"/>
        <w:keepNext w:val="0"/>
        <w:pageBreakBefore w:val="0"/>
        <w:spacing w:before="3" w:line="360" w:lineRule="auto"/>
        <w:widowControl w:val="off"/>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备注：1、在购买基本服务的同时，要根据老年人实际养老需求，不断充实完善购买基本养老服务内容；</w:t>
      </w:r>
      <w:r/>
    </w:p>
    <w:p>
      <w:pPr>
        <w:pStyle w:val="933"/>
        <w:ind w:left="108" w:right="97"/>
        <w:keepLines w:val="0"/>
        <w:keepNext w:val="0"/>
        <w:pageBreakBefore w:val="0"/>
        <w:spacing w:before="4" w:line="360" w:lineRule="auto"/>
        <w:widowControl w:val="off"/>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bidi="ar-SA"/>
        </w:rPr>
        <w:t xml:space="preserve">购买服务标准以实际小时中标单价实施，对不以服务小时计算的服务内容，其服务收费标准应由招标方与中标方共同商定，并签订服务协议，在社区向老年人及社会进行公示切实满足广大老年人实际需求；</w:t>
      </w:r>
      <w:r/>
    </w:p>
    <w:p>
      <w:pPr>
        <w:pStyle w:val="933"/>
        <w:ind w:left="108" w:right="97"/>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bidi="ar-SA"/>
        </w:rPr>
        <w:t xml:space="preserve">老年人及其家庭可根据老年人的实际需求，自主选择个性化、专业化的居家养老服务</w:t>
      </w:r>
      <w:r>
        <w:rPr>
          <w:rFonts w:hint="eastAsia" w:ascii="宋体" w:hAnsi="宋体" w:eastAsia="宋体" w:cs="宋体"/>
          <w:sz w:val="21"/>
          <w:szCs w:val="21"/>
          <w:highlight w:val="none"/>
          <w:lang w:val="en-US" w:eastAsia="zh-CN" w:bidi="ar-SA"/>
        </w:rPr>
        <w:t xml:space="preserve">，在</w:t>
      </w:r>
      <w:r>
        <w:rPr>
          <w:rFonts w:hint="eastAsia" w:ascii="宋体" w:hAnsi="宋体" w:eastAsia="宋体" w:cs="宋体"/>
          <w:sz w:val="21"/>
          <w:szCs w:val="21"/>
          <w:highlight w:val="none"/>
          <w:lang w:val="en-US" w:bidi="ar-SA"/>
        </w:rPr>
        <w:t xml:space="preserve">政府补贴费用不足时，应由老年人及其家庭自行承担。</w:t>
      </w:r>
      <w:r/>
    </w:p>
    <w:p>
      <w:pPr>
        <w:pStyle w:val="969"/>
        <w:ind w:firstLine="0"/>
        <w:jc w:val="left"/>
        <w:keepLines w:val="0"/>
        <w:keepNext w:val="0"/>
        <w:pageBreakBefore w:val="0"/>
        <w:spacing w:line="360" w:lineRule="auto"/>
        <w:widowControl w:val="off"/>
        <w:tabs>
          <w:tab w:val="left" w:pos="512" w:leader="none"/>
        </w:tabs>
        <w:rPr>
          <w:rFonts w:hint="eastAsia" w:ascii="宋体" w:hAnsi="宋体" w:eastAsia="宋体" w:cs="宋体"/>
          <w:sz w:val="21"/>
          <w:szCs w:val="21"/>
          <w:highlight w:val="none"/>
        </w:rPr>
      </w:pPr>
      <w:r>
        <w:rPr>
          <w:rFonts w:hint="eastAsia" w:ascii="宋体" w:hAnsi="宋体" w:eastAsia="宋体" w:cs="宋体"/>
          <w:b/>
          <w:sz w:val="21"/>
          <w:szCs w:val="21"/>
          <w:highlight w:val="none"/>
          <w:lang w:eastAsia="zh-CN"/>
        </w:rPr>
        <w:t xml:space="preserve">四</w:t>
      </w:r>
      <w:r>
        <w:rPr>
          <w:rFonts w:hint="eastAsia" w:ascii="宋体" w:hAnsi="宋体" w:eastAsia="宋体" w:cs="宋体"/>
          <w:b/>
          <w:sz w:val="21"/>
          <w:szCs w:val="21"/>
          <w:highlight w:val="none"/>
        </w:rPr>
        <w:t xml:space="preserve">、</w:t>
      </w:r>
      <w:r>
        <w:rPr>
          <w:rFonts w:hint="eastAsia" w:ascii="宋体" w:hAnsi="宋体" w:eastAsia="宋体" w:cs="宋体"/>
          <w:b/>
          <w:bCs/>
          <w:sz w:val="21"/>
          <w:szCs w:val="21"/>
          <w:highlight w:val="none"/>
        </w:rPr>
        <w:t xml:space="preserve">项目组织实施及管理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eastAsia="zh-CN" w:bidi="zh-TW"/>
        </w:rPr>
        <w:t xml:space="preserve">1.</w:t>
      </w:r>
      <w:r>
        <w:rPr>
          <w:rFonts w:hint="eastAsia" w:ascii="宋体" w:hAnsi="宋体" w:eastAsia="宋体" w:cs="宋体"/>
          <w:sz w:val="21"/>
          <w:szCs w:val="21"/>
          <w:highlight w:val="none"/>
          <w:lang w:bidi="zh-TW"/>
        </w:rPr>
        <w:t xml:space="preserve">乙方应按照</w:t>
      </w:r>
      <w:r>
        <w:rPr>
          <w:rFonts w:hint="eastAsia" w:ascii="宋体" w:hAnsi="宋体" w:cs="宋体"/>
          <w:sz w:val="21"/>
          <w:szCs w:val="21"/>
          <w:highlight w:val="none"/>
          <w:lang w:val="en-US" w:eastAsia="zh-CN" w:bidi="zh-TW"/>
        </w:rPr>
        <w:t xml:space="preserve">招标</w:t>
      </w:r>
      <w:r>
        <w:rPr>
          <w:rFonts w:hint="eastAsia" w:ascii="宋体" w:hAnsi="宋体" w:eastAsia="宋体" w:cs="宋体"/>
          <w:sz w:val="21"/>
          <w:szCs w:val="21"/>
          <w:highlight w:val="none"/>
          <w:lang w:bidi="zh-TW"/>
        </w:rPr>
        <w:t xml:space="preserve">文件规定的项目需求及投标文件的响应内容组织开展居家养老服务。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eastAsia="zh-CN" w:bidi="zh-TW"/>
        </w:rPr>
        <w:t xml:space="preserve">2.</w:t>
      </w:r>
      <w:r>
        <w:rPr>
          <w:rFonts w:hint="eastAsia" w:ascii="宋体" w:hAnsi="宋体" w:eastAsia="宋体" w:cs="宋体"/>
          <w:sz w:val="21"/>
          <w:szCs w:val="21"/>
          <w:highlight w:val="none"/>
          <w:lang w:bidi="zh-TW"/>
        </w:rPr>
        <w:t xml:space="preserve">乙方必须积极配合上级行政主管部门、民政部门以及财务部门对本单位开展的项目监督检查、绩效评估以及资金使用的审计等事宜。</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eastAsia="zh-CN" w:bidi="zh-TW"/>
        </w:rPr>
        <w:t xml:space="preserve">3.</w:t>
      </w:r>
      <w:r>
        <w:rPr>
          <w:rFonts w:hint="eastAsia" w:ascii="宋体" w:hAnsi="宋体" w:eastAsia="宋体" w:cs="宋体"/>
          <w:sz w:val="21"/>
          <w:szCs w:val="21"/>
          <w:highlight w:val="none"/>
          <w:lang w:bidi="zh-TW"/>
        </w:rPr>
        <w:t xml:space="preserve">乙方在上门服务时需使用智慧养老平台系统，通过二维码的方式，记录服务数据、实现服务监管。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eastAsia="zh-CN" w:bidi="zh-TW"/>
        </w:rPr>
        <w:t xml:space="preserve">4.</w:t>
      </w:r>
      <w:r>
        <w:rPr>
          <w:rFonts w:hint="eastAsia" w:ascii="宋体" w:hAnsi="宋体" w:eastAsia="宋体" w:cs="宋体"/>
          <w:sz w:val="21"/>
          <w:szCs w:val="21"/>
          <w:highlight w:val="none"/>
          <w:lang w:bidi="zh-TW"/>
        </w:rPr>
        <w:t xml:space="preserve">乙方负责承接平台专用呼叫热线，为</w:t>
      </w:r>
      <w:r>
        <w:rPr>
          <w:rFonts w:hint="eastAsia" w:ascii="宋体" w:hAnsi="宋体" w:eastAsia="宋体" w:cs="宋体"/>
          <w:sz w:val="21"/>
          <w:szCs w:val="21"/>
          <w:highlight w:val="none"/>
          <w:lang w:eastAsia="zh-CN" w:bidi="zh-TW"/>
        </w:rPr>
        <w:t xml:space="preserve">宝应县安宜镇、西安丰镇</w:t>
      </w:r>
      <w:r>
        <w:rPr>
          <w:rFonts w:hint="eastAsia" w:ascii="宋体" w:hAnsi="宋体" w:eastAsia="宋体" w:cs="宋体"/>
          <w:sz w:val="21"/>
          <w:szCs w:val="21"/>
          <w:highlight w:val="none"/>
          <w:lang w:bidi="zh-TW"/>
        </w:rPr>
        <w:t xml:space="preserve">老年人提供线上及线下服务。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eastAsia="zh-CN" w:bidi="zh-TW"/>
        </w:rPr>
        <w:t xml:space="preserve">5.</w:t>
      </w:r>
      <w:r>
        <w:rPr>
          <w:rFonts w:hint="eastAsia" w:ascii="宋体" w:hAnsi="宋体" w:eastAsia="宋体" w:cs="宋体"/>
          <w:sz w:val="21"/>
          <w:szCs w:val="21"/>
          <w:highlight w:val="none"/>
          <w:lang w:bidi="zh-TW"/>
        </w:rPr>
        <w:t xml:space="preserve">对本合同约定服务范围内的项目享有自主经营权，社会化经营。乙方负责组建专业的服务运营团队，负责日常的运营维护，负责居家养老服务供应商体系管</w:t>
      </w:r>
      <w:r>
        <w:rPr>
          <w:rFonts w:hint="eastAsia" w:ascii="宋体" w:hAnsi="宋体" w:eastAsia="宋体" w:cs="宋体"/>
          <w:sz w:val="21"/>
          <w:szCs w:val="21"/>
          <w:highlight w:val="none"/>
          <w:lang w:eastAsia="zh-CN" w:bidi="zh-TW"/>
        </w:rPr>
        <w:t xml:space="preserve">理和</w:t>
      </w:r>
      <w:r>
        <w:rPr>
          <w:rFonts w:hint="eastAsia" w:ascii="宋体" w:hAnsi="宋体" w:eastAsia="宋体" w:cs="宋体"/>
          <w:sz w:val="21"/>
          <w:szCs w:val="21"/>
          <w:highlight w:val="none"/>
          <w:lang w:bidi="zh-TW"/>
        </w:rPr>
        <w:t xml:space="preserve">建设，提供人员与运营保障。并在未来可以根据甲方的需求随时拓展服务容量。</w:t>
      </w:r>
      <w:r/>
    </w:p>
    <w:p>
      <w:pPr>
        <w:pStyle w:val="893"/>
        <w:ind w:firstLine="420"/>
        <w:keepLines w:val="0"/>
        <w:keepNext w:val="0"/>
        <w:pageBreakBefore w:val="0"/>
        <w:spacing w:line="360" w:lineRule="auto"/>
        <w:widowControl w:val="off"/>
        <w:rPr>
          <w:rFonts w:hint="eastAsia" w:ascii="宋体" w:hAnsi="宋体" w:eastAsia="宋体" w:cs="宋体"/>
          <w:sz w:val="21"/>
          <w:szCs w:val="21"/>
          <w:highlight w:val="none"/>
          <w:lang w:bidi="zh-TW"/>
        </w:rPr>
      </w:pPr>
      <w:r>
        <w:rPr>
          <w:rFonts w:hint="eastAsia" w:ascii="宋体" w:hAnsi="宋体" w:eastAsia="宋体" w:cs="宋体"/>
          <w:sz w:val="21"/>
          <w:szCs w:val="21"/>
          <w:highlight w:val="none"/>
          <w:lang w:eastAsia="zh-CN" w:bidi="zh-TW"/>
        </w:rPr>
        <w:t xml:space="preserve">6.</w:t>
      </w:r>
      <w:r>
        <w:rPr>
          <w:rFonts w:hint="eastAsia" w:ascii="宋体" w:hAnsi="宋体" w:eastAsia="宋体" w:cs="宋体"/>
          <w:sz w:val="21"/>
          <w:szCs w:val="21"/>
          <w:highlight w:val="none"/>
          <w:lang w:bidi="zh-TW"/>
        </w:rPr>
        <w:t xml:space="preserve">本项目乙方组建运营管理团队</w:t>
      </w:r>
      <w:r>
        <w:rPr>
          <w:rFonts w:hint="eastAsia" w:ascii="宋体" w:hAnsi="宋体" w:eastAsia="宋体" w:cs="宋体"/>
          <w:sz w:val="21"/>
          <w:szCs w:val="21"/>
          <w:highlight w:val="none"/>
          <w:lang w:eastAsia="zh-CN" w:bidi="zh-TW"/>
        </w:rPr>
        <w:t xml:space="preserve">，</w:t>
      </w:r>
      <w:r>
        <w:rPr>
          <w:rFonts w:hint="eastAsia" w:ascii="宋体" w:hAnsi="宋体" w:eastAsia="宋体" w:cs="宋体"/>
          <w:sz w:val="21"/>
          <w:szCs w:val="21"/>
          <w:highlight w:val="none"/>
          <w:lang w:bidi="zh-TW"/>
        </w:rPr>
        <w:t xml:space="preserve">积极承接运营甲方区域范围内的居家养老服务工作。</w:t>
      </w:r>
      <w:r/>
    </w:p>
    <w:p>
      <w:pPr>
        <w:ind w:firstLine="422"/>
        <w:pageBreakBefore w:val="0"/>
        <w:spacing w:line="360" w:lineRule="auto"/>
        <w:rPr>
          <w:rFonts w:hint="eastAsia" w:ascii="Times New Roman" w:hAnsi="Times New Roman" w:cs="宋体"/>
          <w:b/>
          <w:color w:val="auto"/>
          <w:szCs w:val="21"/>
          <w:highlight w:val="none"/>
          <w:lang w:val="en-US" w:eastAsia="zh-CN"/>
        </w:rPr>
      </w:pPr>
      <w:r>
        <w:rPr>
          <w:rFonts w:hint="eastAsia" w:ascii="Times New Roman" w:hAnsi="Times New Roman" w:cs="宋体"/>
          <w:b/>
          <w:color w:val="auto"/>
          <w:szCs w:val="21"/>
          <w:highlight w:val="none"/>
          <w:lang w:val="en-US" w:eastAsia="zh-CN"/>
        </w:rPr>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 xml:space="preserve">五</w:t>
      </w:r>
      <w:r>
        <w:rPr>
          <w:rFonts w:hint="eastAsia" w:ascii="Times New Roman" w:hAnsi="Times New Roman" w:eastAsia="宋体" w:cs="宋体"/>
          <w:b/>
          <w:color w:val="auto"/>
          <w:szCs w:val="21"/>
          <w:highlight w:val="none"/>
        </w:rPr>
        <w:t xml:space="preserve">、节能产品要求</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 xml:space="preserve">（本项目涉及强制采购范围内产品有：无）</w:t>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 xml:space="preserve">六</w:t>
      </w:r>
      <w:r>
        <w:rPr>
          <w:rFonts w:hint="eastAsia" w:ascii="Times New Roman" w:hAnsi="Times New Roman" w:eastAsia="宋体" w:cs="宋体"/>
          <w:b/>
          <w:color w:val="auto"/>
          <w:szCs w:val="21"/>
          <w:highlight w:val="none"/>
          <w:lang w:val="en-US" w:eastAsia="zh-CN"/>
        </w:rPr>
        <w:t xml:space="preserve">、</w:t>
      </w:r>
      <w:r>
        <w:rPr>
          <w:rFonts w:hint="eastAsia" w:ascii="Times New Roman" w:hAnsi="Times New Roman" w:eastAsia="宋体" w:cs="宋体"/>
          <w:b/>
          <w:color w:val="auto"/>
          <w:szCs w:val="21"/>
          <w:highlight w:val="none"/>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1</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2</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3</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pStyle w:val="883"/>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83"/>
        <w:jc w:val="center"/>
        <w:pageBreakBefore w:val="0"/>
        <w:spacing w:before="0" w:after="0" w:line="360" w:lineRule="auto"/>
        <w:rPr>
          <w:rFonts w:ascii="Times New Roman" w:hAnsi="Times New Roman" w:eastAsia="宋体"/>
          <w:color w:val="auto"/>
          <w:sz w:val="36"/>
          <w:szCs w:val="36"/>
          <w:highlight w:val="none"/>
        </w:rPr>
      </w:pPr>
      <w:r/>
      <w:bookmarkStart w:id="62"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2"/>
      <w:r/>
      <w:r/>
    </w:p>
    <w:p>
      <w:pPr>
        <w:pStyle w:val="930"/>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30"/>
        <w:ind w:firstLine="420"/>
        <w:pageBreakBefore w:val="0"/>
        <w:spacing w:before="0" w:after="0" w:line="360" w:lineRule="auto"/>
        <w:rPr>
          <w:rFonts w:ascii="Times New Roman" w:hAnsi="Times New Roman" w:eastAsia="宋体"/>
          <w:color w:val="auto"/>
          <w:sz w:val="21"/>
          <w:szCs w:val="21"/>
          <w:highlight w:val="none"/>
        </w:rPr>
      </w:pPr>
      <w:r/>
      <w:bookmarkStart w:id="63" w:name="_Toc449016388"/>
      <w:r/>
      <w:bookmarkStart w:id="64" w:name="_Toc449017024"/>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0"/>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30"/>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3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30"/>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30"/>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3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3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3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3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r/>
    </w:p>
    <w:p>
      <w:pPr>
        <w:pStyle w:val="930"/>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889"/>
        <w:tblW w:w="9666" w:type="dxa"/>
        <w:tblInd w:w="-4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061"/>
        <w:gridCol w:w="7121"/>
        <w:gridCol w:w="813"/>
      </w:tblGrid>
      <w:tr>
        <w:trPr>
          <w:trHeight w:val="90"/>
        </w:trPr>
        <w:tc>
          <w:tcPr>
            <w:tcW w:w="6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0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w:t>
            </w:r>
            <w:r/>
          </w:p>
        </w:tc>
        <w:tc>
          <w:tcPr>
            <w:tcW w:w="71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w:t>
            </w:r>
            <w:r/>
          </w:p>
        </w:tc>
        <w:tc>
          <w:tcPr>
            <w:tcW w:w="8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trHeight w:val="90"/>
        </w:trPr>
        <w:tc>
          <w:tcPr>
            <w:tcW w:w="671" w:type="dxa"/>
            <w:vAlign w:val="center"/>
            <w:textDirection w:val="lrTb"/>
            <w:noWrap w:val="false"/>
          </w:tcPr>
          <w:p>
            <w:pPr>
              <w:jc w:val="center"/>
              <w:keepLines w:val="0"/>
              <w:keepNext w:val="0"/>
              <w:pageBreakBefore w:val="0"/>
              <w:spacing w:before="24"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0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价格部分</w:t>
            </w:r>
            <w:r/>
          </w:p>
        </w:tc>
        <w:tc>
          <w:tcPr>
            <w:tcW w:w="7121" w:type="dxa"/>
            <w:vAlign w:val="center"/>
            <w:textDirection w:val="lrTb"/>
            <w:noWrap w:val="false"/>
          </w:tcPr>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文件要求且投标价格最低的投标报价为评标基准价，其价格分为满分。其他</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的价格分统一按照下列公式计算:</w:t>
            </w:r>
            <w:r/>
          </w:p>
          <w:p>
            <w:pPr>
              <w:ind w:left="400" w:hanging="420"/>
              <w:jc w:val="left"/>
              <w:keepLines w:val="0"/>
              <w:keepNext w:val="0"/>
              <w:pageBreakBefore w:val="0"/>
              <w:spacing w:line="360" w:lineRule="auto"/>
              <w:widowControl w:val="off"/>
              <w:rPr>
                <w:rFonts w:hint="eastAsia" w:ascii="宋体" w:hAnsi="宋体" w:eastAsia="宋体" w:cs="宋体"/>
                <w:spacing w:val="4"/>
                <w:sz w:val="21"/>
                <w:szCs w:val="21"/>
                <w:highlight w:val="none"/>
              </w:rPr>
            </w:pPr>
            <w:r>
              <w:rPr>
                <w:rFonts w:hint="eastAsia" w:ascii="宋体" w:hAnsi="宋体" w:cs="宋体"/>
                <w:color w:val="auto"/>
                <w:szCs w:val="21"/>
                <w:highlight w:val="none"/>
              </w:rPr>
              <w:t xml:space="preserve">投标报价得分=(评标基准价/投标报价)×10×100%（小数点保留两位）。</w:t>
            </w:r>
            <w:r/>
          </w:p>
        </w:tc>
        <w:tc>
          <w:tcPr>
            <w:tcW w:w="8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409"/>
        </w:trPr>
        <w:tc>
          <w:tcPr>
            <w:tcW w:w="6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0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项目实施方案</w:t>
            </w:r>
            <w:r/>
          </w:p>
        </w:tc>
        <w:tc>
          <w:tcPr>
            <w:tcW w:w="712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cs="宋体"/>
                <w:sz w:val="21"/>
                <w:szCs w:val="21"/>
                <w:highlight w:val="none"/>
                <w:lang w:val="en-US" w:eastAsia="zh-CN"/>
              </w:rPr>
              <w:t xml:space="preserve">对</w:t>
            </w:r>
            <w:r>
              <w:rPr>
                <w:rFonts w:hint="eastAsia" w:ascii="宋体" w:hAnsi="宋体" w:eastAsia="宋体" w:cs="宋体"/>
                <w:sz w:val="21"/>
                <w:szCs w:val="21"/>
                <w:highlight w:val="none"/>
              </w:rPr>
              <w:t xml:space="preserve">项目背景与目的的理解和认识、老年人群体的现状与特点、项目的重难点进行调查分析进行评审。以上相关方案每有一项内容完整详细，条理清晰且符合采购实际需求得</w:t>
            </w:r>
            <w:r>
              <w:rPr>
                <w:rFonts w:hint="default"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分，满分</w:t>
            </w:r>
            <w:r>
              <w:rPr>
                <w:rFonts w:hint="default"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分。每有一项内容出现一处存在缺陷的扣0.5分，缺项不得分，每项扣完</w:t>
            </w:r>
            <w:r>
              <w:rPr>
                <w:rFonts w:hint="default"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分为止。</w:t>
            </w:r>
            <w:r/>
          </w:p>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根据项目服务内容，制定上门提供生活照料、探访关爱、健康管理、精神慰藉、安全助援等方案，服务方案内容切实可行，符合实际情况，具有一定的科学性和可操作性，相关观点和具体实施细节体现专业性。以上相关方案每有一项内容完整详细，条理清晰且符合采购实际需求得2分，满分10分。每有一项内容出现一处存在缺陷的扣0.5分，缺项不得分，每项扣完2分为止。</w:t>
            </w:r>
            <w:r/>
          </w:p>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根据本项目老年人的不同需求、老年人所在社区的特点定制特色服务：为高龄老年人定制高龄情况管理方案、制定上门提供专业护理、康复训练、家庭培训等方案、为老年人提供定制的个性化专业化服务等内容进行评分。以上相关方案每有一项内容完整详细，条理清晰且符合采购实际需求得2分，满分10分。每有一项内容出现一处存在缺陷的扣1分，缺项不得分，每项扣完2分为止。</w:t>
            </w:r>
            <w:r/>
          </w:p>
          <w:p>
            <w:pPr>
              <w:pStyle w:val="896"/>
              <w:ind w:left="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、对本项目拟设立的各项管理规章制度的建立管理及档案资料的建立管理进行评分（岗位责任制度、管理运作制度、考核制度、服务反馈</w:t>
            </w:r>
            <w:r>
              <w:rPr>
                <w:rFonts w:hint="eastAsia" w:ascii="宋体" w:hAnsi="宋体" w:cs="宋体"/>
                <w:sz w:val="21"/>
                <w:szCs w:val="21"/>
                <w:highlight w:val="none"/>
                <w:lang w:val="en-US" w:eastAsia="zh-CN"/>
              </w:rPr>
              <w:t xml:space="preserve">及监督</w:t>
            </w:r>
            <w:r>
              <w:rPr>
                <w:rFonts w:hint="eastAsia" w:ascii="宋体" w:hAnsi="宋体" w:cs="宋体"/>
                <w:sz w:val="21"/>
                <w:szCs w:val="21"/>
                <w:highlight w:val="none"/>
                <w:lang w:eastAsia="zh-CN"/>
              </w:rPr>
              <w:t xml:space="preserve">、服务对象档案</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建立</w:t>
            </w:r>
            <w:r>
              <w:rPr>
                <w:rFonts w:hint="eastAsia" w:ascii="宋体" w:hAnsi="宋体" w:cs="宋体"/>
                <w:sz w:val="21"/>
                <w:szCs w:val="21"/>
                <w:highlight w:val="none"/>
                <w:lang w:val="en-US" w:eastAsia="zh-CN"/>
              </w:rPr>
              <w:t xml:space="preserve">与</w:t>
            </w:r>
            <w:r>
              <w:rPr>
                <w:rFonts w:hint="eastAsia" w:ascii="宋体" w:hAnsi="宋体" w:eastAsia="宋体" w:cs="宋体"/>
                <w:sz w:val="21"/>
                <w:szCs w:val="21"/>
                <w:highlight w:val="none"/>
                <w:lang w:eastAsia="zh-CN"/>
              </w:rPr>
              <w:t xml:space="preserve">管理）</w:t>
            </w:r>
            <w:r>
              <w:rPr>
                <w:rFonts w:hint="eastAsia" w:ascii="宋体" w:hAnsi="宋体" w:eastAsia="宋体" w:cs="宋体"/>
                <w:sz w:val="21"/>
                <w:szCs w:val="21"/>
                <w:highlight w:val="none"/>
              </w:rPr>
              <w:t xml:space="preserve">。以上相关方案每有一项内容完整详细，条理清晰且符合采购实际需求得</w:t>
            </w:r>
            <w:r>
              <w:rPr>
                <w:rFonts w:hint="default" w:ascii="宋体" w:hAnsi="宋体" w:cs="宋体"/>
                <w:sz w:val="21"/>
                <w:szCs w:val="21"/>
                <w:highlight w:val="none"/>
                <w:lang w:val="en-US"/>
              </w:rPr>
              <w:t xml:space="preserve">2</w:t>
            </w:r>
            <w:r>
              <w:rPr>
                <w:rFonts w:hint="eastAsia" w:ascii="宋体" w:hAnsi="宋体" w:eastAsia="宋体" w:cs="宋体"/>
                <w:sz w:val="21"/>
                <w:szCs w:val="21"/>
                <w:highlight w:val="none"/>
              </w:rPr>
              <w:t xml:space="preserve">分，满分</w:t>
            </w:r>
            <w:r>
              <w:rPr>
                <w:rFonts w:hint="default" w:ascii="宋体" w:hAnsi="宋体" w:cs="宋体"/>
                <w:sz w:val="21"/>
                <w:szCs w:val="21"/>
                <w:highlight w:val="none"/>
                <w:lang w:val="en-US"/>
              </w:rPr>
              <w:t xml:space="preserve">10</w:t>
            </w:r>
            <w:r>
              <w:rPr>
                <w:rFonts w:hint="eastAsia" w:ascii="宋体" w:hAnsi="宋体" w:eastAsia="宋体" w:cs="宋体"/>
                <w:sz w:val="21"/>
                <w:szCs w:val="21"/>
                <w:highlight w:val="none"/>
              </w:rPr>
              <w:t xml:space="preserve">分。每有一项内容出现一处存在缺陷的扣0.5分，缺项不得分，每项扣完</w:t>
            </w:r>
            <w:r>
              <w:rPr>
                <w:rFonts w:hint="default" w:ascii="宋体" w:hAnsi="宋体" w:cs="宋体"/>
                <w:sz w:val="21"/>
                <w:szCs w:val="21"/>
                <w:highlight w:val="none"/>
                <w:lang w:val="en-US"/>
              </w:rPr>
              <w:t xml:space="preserve">2</w:t>
            </w:r>
            <w:r>
              <w:rPr>
                <w:rFonts w:hint="eastAsia" w:ascii="宋体" w:hAnsi="宋体" w:eastAsia="宋体" w:cs="宋体"/>
                <w:sz w:val="21"/>
                <w:szCs w:val="21"/>
                <w:highlight w:val="none"/>
              </w:rPr>
              <w:t xml:space="preserve">分为止。</w:t>
            </w:r>
            <w:r/>
          </w:p>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lang w:val="en-US" w:eastAsia="zh-CN"/>
              </w:rPr>
              <w:t xml:space="preserve">根据投标人针对本项目制定的突发事件应急预案：应急管理工作的组织指挥体系与职责、突发事件的预防与预警机制、突发事件的处置程序和应急保障措施、事后恢复措施、应急预案的制定和管理等进行评审</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以上相关内容每有一项内容完整详细，条理清晰且符合采购实际需求的得2分，满分10分。每一项内容出现一处存在缺陷的扣0.5分，缺项不得分，每项扣完2分为止。</w:t>
            </w:r>
            <w:r/>
          </w:p>
        </w:tc>
        <w:tc>
          <w:tcPr>
            <w:tcW w:w="813" w:type="dxa"/>
            <w:vAlign w:val="center"/>
            <w:textDirection w:val="lrTb"/>
            <w:noWrap w:val="false"/>
          </w:tcPr>
          <w:p>
            <w:pPr>
              <w:jc w:val="center"/>
              <w:keepLines w:val="0"/>
              <w:keepNext w:val="0"/>
              <w:pageBreakBefore w:val="0"/>
              <w:spacing w:line="360" w:lineRule="auto"/>
              <w:widowControl w:val="off"/>
              <w:tabs>
                <w:tab w:val="left" w:pos="3633" w:leader="none"/>
              </w:tabs>
              <w:rPr>
                <w:rFonts w:hint="default" w:ascii="宋体" w:hAnsi="宋体" w:eastAsia="宋体" w:cs="宋体"/>
                <w:sz w:val="21"/>
                <w:szCs w:val="21"/>
                <w:highlight w:val="none"/>
                <w:lang w:val="en-US" w:eastAsia="zh-CN"/>
              </w:rPr>
            </w:pPr>
            <w:r>
              <w:rPr>
                <w:rFonts w:hint="default" w:ascii="宋体" w:hAnsi="宋体" w:cs="宋体"/>
                <w:sz w:val="21"/>
                <w:szCs w:val="21"/>
                <w:highlight w:val="none"/>
                <w:lang w:val="en-US"/>
              </w:rPr>
              <w:t xml:space="preserve">46</w:t>
            </w:r>
            <w:r/>
          </w:p>
        </w:tc>
      </w:tr>
      <w:tr>
        <w:trPr>
          <w:trHeight w:val="925"/>
        </w:trPr>
        <w:tc>
          <w:tcPr>
            <w:tcW w:w="6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0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W w:w="712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自2023年01月01日以来（以合同签订时间为准）</w:t>
            </w:r>
            <w:r>
              <w:rPr>
                <w:rFonts w:hint="eastAsia" w:ascii="宋体" w:hAnsi="宋体" w:cs="宋体"/>
                <w:color w:val="auto"/>
                <w:szCs w:val="21"/>
                <w:highlight w:val="none"/>
                <w:lang w:val="en-US" w:eastAsia="zh-CN"/>
              </w:rPr>
              <w:t xml:space="preserve">投标人</w:t>
            </w:r>
            <w:r>
              <w:rPr>
                <w:rFonts w:hint="eastAsia" w:ascii="宋体" w:hAnsi="宋体" w:eastAsia="宋体" w:cs="宋体"/>
                <w:sz w:val="21"/>
                <w:szCs w:val="21"/>
                <w:highlight w:val="none"/>
              </w:rPr>
              <w:t xml:space="preserve">承担过类似业绩的，每有一个</w:t>
            </w:r>
            <w:r>
              <w:rPr>
                <w:rFonts w:hint="eastAsia" w:ascii="宋体" w:hAnsi="宋体" w:cs="宋体"/>
                <w:sz w:val="21"/>
                <w:szCs w:val="21"/>
                <w:highlight w:val="none"/>
                <w:lang w:val="en-US" w:eastAsia="zh-CN"/>
              </w:rPr>
              <w:t xml:space="preserve">得</w:t>
            </w:r>
            <w:r>
              <w:rPr>
                <w:rFonts w:hint="default" w:ascii="宋体" w:hAnsi="宋体" w:cs="宋体"/>
                <w:sz w:val="21"/>
                <w:szCs w:val="21"/>
                <w:highlight w:val="none"/>
                <w:lang w:val="en-US"/>
              </w:rPr>
              <w:t xml:space="preserve">2</w:t>
            </w:r>
            <w:r>
              <w:rPr>
                <w:rFonts w:hint="eastAsia" w:ascii="宋体" w:hAnsi="宋体" w:eastAsia="宋体" w:cs="宋体"/>
                <w:sz w:val="21"/>
                <w:szCs w:val="21"/>
                <w:highlight w:val="none"/>
              </w:rPr>
              <w:t xml:space="preserve">分，最高得 1</w:t>
            </w:r>
            <w:r>
              <w:rPr>
                <w:rFonts w:hint="default" w:ascii="宋体" w:hAnsi="宋体" w:eastAsia="宋体" w:cs="宋体"/>
                <w:sz w:val="21"/>
                <w:szCs w:val="21"/>
                <w:highlight w:val="none"/>
                <w:lang w:val="en-US"/>
              </w:rPr>
              <w:t xml:space="preserve">2</w:t>
            </w:r>
            <w:r>
              <w:rPr>
                <w:rFonts w:hint="eastAsia" w:ascii="宋体" w:hAnsi="宋体" w:eastAsia="宋体" w:cs="宋体"/>
                <w:sz w:val="21"/>
                <w:szCs w:val="21"/>
                <w:highlight w:val="none"/>
              </w:rPr>
              <w:t xml:space="preserve">分。（提供合同原件扫描上传）</w:t>
            </w:r>
            <w:r/>
          </w:p>
        </w:tc>
        <w:tc>
          <w:tcPr>
            <w:tcW w:w="8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default" w:ascii="宋体" w:hAnsi="宋体" w:eastAsia="宋体" w:cs="宋体"/>
                <w:sz w:val="21"/>
                <w:szCs w:val="21"/>
                <w:highlight w:val="none"/>
                <w:lang w:val="en-US"/>
              </w:rPr>
              <w:t xml:space="preserve">2</w:t>
            </w:r>
            <w:r/>
          </w:p>
        </w:tc>
      </w:tr>
      <w:tr>
        <w:trPr>
          <w:trHeight w:val="841"/>
        </w:trPr>
        <w:tc>
          <w:tcPr>
            <w:tcW w:w="6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0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项目组人员</w:t>
            </w:r>
            <w:r/>
          </w:p>
        </w:tc>
        <w:tc>
          <w:tcPr>
            <w:tcW w:w="7121" w:type="dxa"/>
            <w:vAlign w:val="center"/>
            <w:textDirection w:val="lrTb"/>
            <w:noWrap w:val="false"/>
          </w:tcPr>
          <w:p>
            <w:pPr>
              <w:numPr>
                <w:ilvl w:val="0"/>
                <w:numId w:val="8"/>
              </w:num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项目负责人具有养老护理员（高级）或老年人能力评估师（高级）或社会工作者证书（中级或以上）的，有一个证书2分，满分6分。</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劳动合同以及</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近三个月内任意一个月为其缴纳社保的证明</w:t>
            </w:r>
            <w:r>
              <w:rPr>
                <w:rFonts w:hint="eastAsia" w:ascii="宋体" w:hAnsi="宋体" w:cs="宋体"/>
                <w:sz w:val="21"/>
                <w:szCs w:val="21"/>
                <w:highlight w:val="none"/>
                <w:lang w:val="en-US" w:eastAsia="zh-CN"/>
              </w:rPr>
              <w:t xml:space="preserve">材料，原件扫描上传</w:t>
            </w:r>
            <w:r>
              <w:rPr>
                <w:rFonts w:hint="eastAsia" w:ascii="宋体" w:hAnsi="宋体" w:eastAsia="宋体" w:cs="宋体"/>
                <w:sz w:val="21"/>
                <w:szCs w:val="21"/>
                <w:highlight w:val="none"/>
              </w:rPr>
              <w:t xml:space="preserve">）。</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团队人员组成：①社会工作者证书，有1人次得1分，满分</w:t>
            </w:r>
            <w:r>
              <w:rPr>
                <w:rFonts w:hint="default" w:ascii="宋体" w:hAnsi="宋体" w:cs="宋体"/>
                <w:sz w:val="21"/>
                <w:szCs w:val="21"/>
                <w:highlight w:val="none"/>
                <w:lang w:val="en-US"/>
              </w:rPr>
              <w:t xml:space="preserve">3</w:t>
            </w:r>
            <w:r>
              <w:rPr>
                <w:rFonts w:hint="eastAsia" w:ascii="宋体" w:hAnsi="宋体" w:eastAsia="宋体" w:cs="宋体"/>
                <w:sz w:val="21"/>
                <w:szCs w:val="21"/>
                <w:highlight w:val="none"/>
              </w:rPr>
              <w:t xml:space="preserve">分；②执业医师资格证有1人次得1分，满分</w:t>
            </w:r>
            <w:r>
              <w:rPr>
                <w:rFonts w:hint="default" w:ascii="宋体" w:hAnsi="宋体" w:cs="宋体"/>
                <w:sz w:val="21"/>
                <w:szCs w:val="21"/>
                <w:highlight w:val="none"/>
                <w:lang w:val="en-US"/>
              </w:rPr>
              <w:t xml:space="preserve">3</w:t>
            </w:r>
            <w:r>
              <w:rPr>
                <w:rFonts w:hint="eastAsia" w:ascii="宋体" w:hAnsi="宋体" w:eastAsia="宋体" w:cs="宋体"/>
                <w:sz w:val="21"/>
                <w:szCs w:val="21"/>
                <w:highlight w:val="none"/>
              </w:rPr>
              <w:t xml:space="preserve">分；③</w:t>
            </w:r>
            <w:bookmarkStart w:id="65" w:name="OLE_LINK1"/>
            <w:r>
              <w:rPr>
                <w:rFonts w:hint="eastAsia" w:ascii="宋体" w:hAnsi="宋体" w:eastAsia="宋体" w:cs="宋体"/>
                <w:sz w:val="21"/>
                <w:szCs w:val="21"/>
                <w:highlight w:val="none"/>
              </w:rPr>
              <w:t xml:space="preserve">护士资格证有1人次得1分，满分</w:t>
            </w:r>
            <w:r>
              <w:rPr>
                <w:rFonts w:hint="default" w:ascii="宋体" w:hAnsi="宋体" w:cs="宋体"/>
                <w:sz w:val="21"/>
                <w:szCs w:val="21"/>
                <w:highlight w:val="none"/>
                <w:lang w:val="en-US"/>
              </w:rPr>
              <w:t xml:space="preserve">6</w:t>
            </w:r>
            <w:r>
              <w:rPr>
                <w:rFonts w:hint="eastAsia" w:ascii="宋体" w:hAnsi="宋体" w:eastAsia="宋体" w:cs="宋体"/>
                <w:sz w:val="21"/>
                <w:szCs w:val="21"/>
                <w:highlight w:val="none"/>
              </w:rPr>
              <w:t xml:space="preserve">分</w:t>
            </w:r>
            <w:bookmarkEnd w:id="65"/>
            <w:r>
              <w:rPr>
                <w:rFonts w:hint="eastAsia" w:ascii="宋体" w:hAnsi="宋体" w:eastAsia="宋体" w:cs="宋体"/>
                <w:sz w:val="21"/>
                <w:szCs w:val="21"/>
                <w:highlight w:val="none"/>
              </w:rPr>
              <w:t xml:space="preserve">；④心理咨询师资格证有1人次得1分，满分2分；⑤健康管理师资格证有1人次得1分，满分1分；⑥电工证书有1人得1分，满分1分。持有以上证书的人员不得重复计算，本项满分</w:t>
            </w:r>
            <w:r>
              <w:rPr>
                <w:rFonts w:hint="default" w:ascii="宋体" w:hAnsi="宋体" w:cs="宋体"/>
                <w:sz w:val="21"/>
                <w:szCs w:val="21"/>
                <w:highlight w:val="none"/>
                <w:lang w:val="en-US"/>
              </w:rPr>
              <w:t xml:space="preserve">16</w:t>
            </w:r>
            <w:r>
              <w:rPr>
                <w:rFonts w:hint="eastAsia" w:ascii="宋体" w:hAnsi="宋体" w:eastAsia="宋体" w:cs="宋体"/>
                <w:sz w:val="21"/>
                <w:szCs w:val="21"/>
                <w:highlight w:val="none"/>
              </w:rPr>
              <w:t xml:space="preserve">分。（以上人员提供证书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劳动或劳派合同以及</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近三个月任意一个月为其缴纳社保的证明</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原件扫描上传</w:t>
            </w:r>
            <w:r>
              <w:rPr>
                <w:rFonts w:hint="eastAsia" w:ascii="宋体" w:hAnsi="宋体" w:eastAsia="宋体" w:cs="宋体"/>
                <w:sz w:val="21"/>
                <w:szCs w:val="21"/>
                <w:highlight w:val="none"/>
              </w:rPr>
              <w:t xml:space="preserve">）。</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投标人投入养老护理员团队人数15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20人的得5分；21--25人的得7分；25人以上的得10分；15人以下的不得分；本项满分10分。（以上人员提供证书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劳动或劳派合同原件</w:t>
            </w:r>
            <w:r>
              <w:rPr>
                <w:rFonts w:hint="eastAsia" w:ascii="宋体" w:hAnsi="宋体" w:cs="宋体"/>
                <w:sz w:val="21"/>
                <w:szCs w:val="21"/>
                <w:highlight w:val="none"/>
                <w:lang w:val="en-US" w:eastAsia="zh-CN"/>
              </w:rPr>
              <w:t xml:space="preserve">及投标人为其缴纳的近三个月任意一个月社保证明材料</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原件扫描上传</w:t>
            </w:r>
            <w:r>
              <w:rPr>
                <w:rFonts w:hint="eastAsia" w:ascii="宋体" w:hAnsi="宋体" w:eastAsia="宋体" w:cs="宋体"/>
                <w:sz w:val="21"/>
                <w:szCs w:val="21"/>
                <w:highlight w:val="none"/>
              </w:rPr>
              <w:t xml:space="preserve">）。</w:t>
            </w:r>
            <w:r/>
          </w:p>
        </w:tc>
        <w:tc>
          <w:tcPr>
            <w:tcW w:w="81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1"/>
                <w:szCs w:val="21"/>
                <w:highlight w:val="none"/>
                <w:lang w:val="en-US"/>
              </w:rPr>
            </w:pPr>
            <w:r>
              <w:rPr>
                <w:rFonts w:hint="default" w:ascii="宋体" w:hAnsi="宋体" w:cs="宋体"/>
                <w:sz w:val="21"/>
                <w:szCs w:val="21"/>
                <w:highlight w:val="none"/>
                <w:lang w:val="en-US"/>
              </w:rPr>
              <w:t xml:space="preserve">32</w:t>
            </w:r>
            <w:r/>
          </w:p>
        </w:tc>
      </w:tr>
    </w:tbl>
    <w:p>
      <w:pPr>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Style w:val="916"/>
        <w:pageBreakBefore w:val="0"/>
        <w:spacing w:before="0" w:after="0"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883"/>
        <w:jc w:val="center"/>
        <w:pageBreakBefore w:val="0"/>
        <w:spacing w:before="0" w:after="0" w:line="360" w:lineRule="auto"/>
        <w:rPr>
          <w:rFonts w:hint="eastAsia" w:ascii="Times New Roman" w:hAnsi="Times New Roman" w:eastAsia="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66" w:name="_Toc9838"/>
      <w:r/>
      <w:r/>
    </w:p>
    <w:p>
      <w:pPr>
        <w:pStyle w:val="883"/>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6"/>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4"/>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7" w:name="_Toc5792"/>
      <w:r/>
      <w:bookmarkStart w:id="68" w:name="_Toc31039"/>
      <w:r/>
      <w:bookmarkStart w:id="69" w:name="_Toc2029"/>
      <w:r>
        <w:rPr>
          <w:rFonts w:hint="eastAsia" w:ascii="Times New Roman" w:hAnsi="Times New Roman" w:eastAsia="宋体"/>
          <w:color w:val="auto"/>
          <w:sz w:val="32"/>
          <w:highlight w:val="none"/>
        </w:rPr>
        <w:t xml:space="preserve">一、资格审查响应对照表</w:t>
      </w:r>
      <w:bookmarkEnd w:id="67"/>
      <w:r/>
      <w:bookmarkEnd w:id="68"/>
      <w:r/>
      <w:bookmarkEnd w:id="69"/>
      <w:r/>
      <w:r/>
    </w:p>
    <w:tbl>
      <w:tblPr>
        <w:tblStyle w:val="88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iCs/>
                <w:color w:val="auto"/>
                <w:szCs w:val="21"/>
                <w:highlight w:val="none"/>
                <w:lang w:val="en-US" w:eastAsia="zh-CN"/>
              </w:rPr>
              <w:t xml:space="preserve">上一年度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30"/>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30"/>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3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3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0"/>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30"/>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31"/>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31"/>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31"/>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31"/>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31"/>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31"/>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31"/>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31"/>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31"/>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jc w:val="center"/>
        <w:pageBreakBefore w:val="0"/>
        <w:spacing w:after="361"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auto"/>
          <w:sz w:val="21"/>
          <w:szCs w:val="21"/>
          <w:highlight w:val="none"/>
        </w:rPr>
      </w:r>
      <w:r/>
    </w:p>
    <w:p>
      <w:pPr>
        <w:jc w:val="center"/>
        <w:pageBreakBefore w:val="0"/>
        <w:spacing w:after="361"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中小企业声明函（服务类项目）（采购包号：**）</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auto"/>
          <w:sz w:val="21"/>
          <w:szCs w:val="21"/>
          <w:highlight w:val="none"/>
          <w:u w:val="single"/>
        </w:rPr>
        <w:t xml:space="preserve">（项目名称）（采购包号：**）</w:t>
      </w:r>
      <w:r>
        <w:rPr>
          <w:rFonts w:ascii="Times New Roman" w:hAnsi="Times New Roman" w:eastAsia="宋体" w:cs="宋体"/>
          <w:color w:val="auto"/>
          <w:sz w:val="21"/>
          <w:szCs w:val="21"/>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cs="宋体"/>
          <w:color w:val="auto"/>
          <w:sz w:val="21"/>
          <w:szCs w:val="21"/>
          <w:highlight w:val="none"/>
          <w:u w:val="single"/>
          <w:lang w:val="en-US" w:eastAsia="zh-CN"/>
        </w:rPr>
        <w:t xml:space="preserve">其他未列明行业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（供应商填写招标文件中明确的所属行业）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right="180" w:firstLine="360"/>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企业名称（加盖CA电子公章）：</w:t>
      </w:r>
      <w:r/>
    </w:p>
    <w:p>
      <w:pPr>
        <w:ind w:right="480" w:firstLine="540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日  期：</w:t>
      </w:r>
      <w:r/>
    </w:p>
    <w:p>
      <w:pPr>
        <w:ind w:firstLine="24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3.供应商应对照《工业和信息化部、国家统计局、国家发展和改革委员会、财政</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pageBreakBefore w:val="0"/>
        <w:spacing w:line="360" w:lineRule="auto"/>
        <w:rPr>
          <w:rStyle w:val="912"/>
          <w:rFonts w:ascii="Times New Roman" w:hAnsi="Times New Roman" w:eastAsia="宋体" w:cs="仿宋"/>
          <w:color w:val="auto"/>
          <w:szCs w:val="21"/>
          <w:highlight w:val="none"/>
        </w:rPr>
      </w:pPr>
      <w:r>
        <w:rPr>
          <w:rStyle w:val="912"/>
          <w:rFonts w:hint="eastAsia" w:ascii="Times New Roman" w:hAnsi="Times New Roman" w:eastAsia="宋体" w:cs="仿宋"/>
          <w:color w:val="auto"/>
          <w:szCs w:val="21"/>
          <w:highlight w:val="none"/>
        </w:rPr>
        <w:t xml:space="preserve">中小微企业划型标准</w:t>
      </w:r>
      <w:r/>
    </w:p>
    <w:p>
      <w:pPr>
        <w:pStyle w:val="908"/>
        <w:ind w:firstLine="420"/>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中小微企业划型标准如下：</w:t>
      </w:r>
      <w:r/>
    </w:p>
    <w:tbl>
      <w:tblPr>
        <w:tblStyle w:val="88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8"/>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ind w:firstLine="420"/>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8"/>
              <w:jc w:val="center"/>
              <w:pageBreakBefore w:val="0"/>
              <w:spacing w:line="360" w:lineRule="auto"/>
              <w:widowControl/>
              <w:rPr>
                <w:rFonts w:ascii="Times New Roman" w:hAnsi="Times New Roman" w:eastAsia="宋体"/>
                <w:color w:val="auto"/>
                <w:sz w:val="21"/>
                <w:szCs w:val="21"/>
                <w:highlight w:val="none"/>
              </w:rPr>
            </w:pPr>
            <w:r>
              <w:rPr>
                <w:rStyle w:val="912"/>
                <w:rFonts w:hint="eastAsia" w:ascii="Times New Roman" w:hAnsi="Times New Roman" w:eastAsia="宋体" w:cs="仿宋"/>
                <w:color w:val="auto"/>
                <w:sz w:val="21"/>
                <w:szCs w:val="21"/>
                <w:highlight w:val="none"/>
              </w:rPr>
              <w:t xml:space="preserve">X＜10</w:t>
            </w:r>
            <w:r/>
          </w:p>
        </w:tc>
      </w:tr>
    </w:tbl>
    <w:p>
      <w:pPr>
        <w:pStyle w:val="908"/>
        <w:ind w:firstLine="810"/>
        <w:pageBreakBefore w:val="0"/>
        <w:spacing w:line="360" w:lineRule="auto"/>
        <w:widowControl/>
        <w:rPr>
          <w:rStyle w:val="912"/>
          <w:rFonts w:ascii="Times New Roman" w:hAnsi="Times New Roman" w:eastAsia="宋体" w:cs="仿宋"/>
          <w:color w:val="auto"/>
          <w:sz w:val="21"/>
          <w:szCs w:val="21"/>
          <w:highlight w:val="none"/>
        </w:rPr>
      </w:pPr>
      <w:r>
        <w:rPr>
          <w:rStyle w:val="912"/>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12"/>
          <w:rFonts w:hint="eastAsia" w:ascii="Times New Roman" w:hAnsi="Times New Roman" w:eastAsia="宋体" w:cs="仿宋"/>
          <w:color w:val="auto"/>
          <w:sz w:val="21"/>
          <w:szCs w:val="21"/>
          <w:highlight w:val="none"/>
          <w:lang w:eastAsia="zh-CN"/>
        </w:rPr>
        <w:t xml:space="preserve">〔2011〕300号</w:t>
      </w:r>
      <w:r>
        <w:rPr>
          <w:rStyle w:val="912"/>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4"/>
        <w:pageBreakBefore w:val="0"/>
        <w:spacing w:before="0" w:after="0" w:line="360" w:lineRule="auto"/>
        <w:rPr>
          <w:rFonts w:hint="eastAsia"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0" w:name="_Toc10588"/>
      <w:r/>
      <w:bookmarkStart w:id="71" w:name="_Toc29496"/>
      <w:r/>
      <w:bookmarkStart w:id="72" w:name="_Toc20616"/>
      <w:r/>
      <w:r/>
    </w:p>
    <w:p>
      <w:pPr>
        <w:pStyle w:val="884"/>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70"/>
      <w:r/>
      <w:bookmarkEnd w:id="71"/>
      <w:r/>
      <w:bookmarkEnd w:id="72"/>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4"/>
        <w:pageBreakBefore w:val="0"/>
        <w:spacing w:before="0" w:after="0" w:line="360" w:lineRule="auto"/>
        <w:rPr>
          <w:rFonts w:ascii="Times New Roman" w:hAnsi="Times New Roman" w:eastAsia="宋体"/>
          <w:color w:val="auto"/>
          <w:sz w:val="32"/>
          <w:highlight w:val="none"/>
        </w:rPr>
      </w:pPr>
      <w:r/>
      <w:bookmarkStart w:id="73" w:name="_Toc23420"/>
      <w:r/>
      <w:bookmarkStart w:id="74" w:name="_Toc3706"/>
      <w:r/>
      <w:bookmarkStart w:id="75" w:name="_Toc13365"/>
      <w:r>
        <w:rPr>
          <w:rFonts w:hint="eastAsia" w:ascii="Times New Roman" w:hAnsi="Times New Roman" w:eastAsia="宋体"/>
          <w:color w:val="auto"/>
          <w:sz w:val="32"/>
          <w:highlight w:val="none"/>
        </w:rPr>
        <w:t xml:space="preserve">三、非实质性响应对照表</w:t>
      </w:r>
      <w:bookmarkEnd w:id="73"/>
      <w:r/>
      <w:bookmarkEnd w:id="74"/>
      <w:r/>
      <w:bookmarkEnd w:id="75"/>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5"/>
        <w:pageBreakBefore w:val="0"/>
        <w:spacing w:before="0" w:after="0" w:line="360" w:lineRule="auto"/>
        <w:rPr>
          <w:rStyle w:val="912"/>
          <w:rFonts w:ascii="Times New Roman" w:hAnsi="Times New Roman" w:eastAsia="宋体" w:cs="仿宋"/>
          <w:b w:val="0"/>
          <w:color w:val="auto"/>
          <w:sz w:val="21"/>
          <w:szCs w:val="21"/>
          <w:highlight w:val="none"/>
        </w:rPr>
      </w:pPr>
      <w:r>
        <w:rPr>
          <w:rStyle w:val="912"/>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8"/>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8"/>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913"/>
          <w:rFonts w:hint="eastAsia" w:ascii="Times New Roman" w:hAnsi="Times New Roman" w:eastAsia="宋体" w:cs="宋体"/>
          <w:i w:val="0"/>
          <w:color w:val="auto"/>
          <w:highlight w:val="none"/>
          <w:u w:val="single"/>
          <w:shd w:val="clear" w:color="auto" w:fill="ffffff"/>
        </w:rPr>
        <w:t xml:space="preserve">（产品名称1）</w:t>
      </w:r>
      <w:r>
        <w:rPr>
          <w:rStyle w:val="913"/>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913"/>
          <w:rFonts w:hint="eastAsia" w:ascii="Times New Roman" w:hAnsi="Times New Roman" w:eastAsia="宋体" w:cs="宋体"/>
          <w:i w:val="0"/>
          <w:color w:val="auto"/>
          <w:highlight w:val="none"/>
          <w:u w:val="single"/>
          <w:shd w:val="clear" w:color="auto" w:fill="ffffff"/>
        </w:rPr>
        <w:t xml:space="preserve">（厂名）</w:t>
      </w:r>
      <w:r>
        <w:rPr>
          <w:rStyle w:val="913"/>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13"/>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13"/>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913"/>
          <w:rFonts w:hint="eastAsia" w:ascii="Times New Roman" w:hAnsi="Times New Roman" w:eastAsia="宋体" w:cs="宋体"/>
          <w:i w:val="0"/>
          <w:color w:val="auto"/>
          <w:highlight w:val="none"/>
          <w:u w:val="single"/>
          <w:shd w:val="clear" w:color="auto" w:fill="ffffff"/>
        </w:rPr>
        <w:t xml:space="preserve">（规定比例）</w:t>
      </w:r>
      <w:r>
        <w:rPr>
          <w:rStyle w:val="913"/>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13"/>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color w:val="auto"/>
          <w:highlight w:val="none"/>
          <w:u w:val="single"/>
          <w:shd w:val="clear" w:color="auto" w:fill="ffffff"/>
        </w:rPr>
        <w:t xml:space="preserve">（关键组件）</w:t>
      </w:r>
      <w:r>
        <w:rPr>
          <w:rStyle w:val="913"/>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13"/>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color w:val="auto"/>
          <w:highlight w:val="none"/>
          <w:u w:val="single"/>
          <w:shd w:val="clear" w:color="auto" w:fill="ffffff"/>
        </w:rPr>
        <w:t xml:space="preserve">（关键工序）</w:t>
      </w:r>
      <w:r>
        <w:rPr>
          <w:rStyle w:val="913"/>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8"/>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913"/>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913"/>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913"/>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913"/>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913"/>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913"/>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913"/>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908"/>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908"/>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8"/>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8"/>
        <w:ind w:right="480" w:firstLine="37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8"/>
        <w:jc w:val="center"/>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8"/>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8"/>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8"/>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8"/>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8"/>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8"/>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8"/>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4"/>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6" w:name="_Toc19910"/>
      <w:r/>
      <w:r/>
    </w:p>
    <w:p>
      <w:pPr>
        <w:pStyle w:val="884"/>
        <w:pageBreakBefore w:val="0"/>
        <w:spacing w:before="0" w:after="0" w:line="360" w:lineRule="auto"/>
        <w:rPr>
          <w:rFonts w:ascii="Times New Roman" w:hAnsi="Times New Roman" w:eastAsia="宋体"/>
          <w:color w:val="auto"/>
          <w:sz w:val="32"/>
          <w:highlight w:val="none"/>
        </w:rPr>
      </w:pPr>
      <w:r/>
      <w:bookmarkStart w:id="77" w:name="_Toc24565"/>
      <w:r/>
      <w:bookmarkStart w:id="78" w:name="_Toc29012"/>
      <w:r>
        <w:rPr>
          <w:rFonts w:hint="eastAsia" w:ascii="Times New Roman" w:hAnsi="Times New Roman" w:eastAsia="宋体"/>
          <w:color w:val="auto"/>
          <w:sz w:val="32"/>
          <w:highlight w:val="none"/>
        </w:rPr>
        <w:t xml:space="preserve">四、开标一览表</w:t>
      </w:r>
      <w:bookmarkEnd w:id="76"/>
      <w:r/>
      <w:bookmarkEnd w:id="77"/>
      <w:r/>
      <w:bookmarkEnd w:id="78"/>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88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3"/>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893"/>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30"/>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893"/>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30"/>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891"/>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69"/>
        <w:jc w:val="center"/>
        <w:pageBreakBefore w:val="0"/>
        <w:spacing w:after="0" w:line="360" w:lineRule="auto"/>
        <w:rPr>
          <w:rFonts w:ascii="Times New Roman" w:hAnsi="Times New Roman" w:eastAsia="宋体"/>
          <w:b/>
          <w:bCs/>
          <w:color w:val="auto"/>
          <w:sz w:val="24"/>
          <w:szCs w:val="24"/>
          <w:highlight w:val="none"/>
          <w:lang w:eastAsia="zh-CN"/>
        </w:rPr>
      </w:pPr>
      <w:r/>
      <w:bookmarkStart w:id="79" w:name="_Toc17891"/>
      <w:r/>
      <w:bookmarkStart w:id="80" w:name="_Toc5967"/>
      <w:r>
        <w:rPr>
          <w:rFonts w:hint="eastAsia" w:ascii="Times New Roman" w:hAnsi="Times New Roman" w:eastAsia="宋体"/>
          <w:b/>
          <w:bCs/>
          <w:color w:val="auto"/>
          <w:sz w:val="32"/>
          <w:highlight w:val="none"/>
        </w:rPr>
        <w:t xml:space="preserve">五、分项报价表</w:t>
      </w:r>
      <w:bookmarkEnd w:id="79"/>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9"/>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0"/>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7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70"/>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0"/>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2、所有报价（含各分项报价）必须符合国家法律法规及本次采购文件要求</w:t>
      </w:r>
      <w:r/>
    </w:p>
    <w:p>
      <w:pPr>
        <w:pStyle w:val="884"/>
        <w:pageBreakBefore w:val="0"/>
        <w:spacing w:before="0" w:after="0" w:line="360" w:lineRule="auto"/>
        <w:rPr>
          <w:rFonts w:ascii="Times New Roman" w:hAnsi="Times New Roman" w:eastAsia="宋体"/>
          <w:color w:val="auto"/>
          <w:sz w:val="32"/>
          <w:highlight w:val="none"/>
        </w:rPr>
      </w:pPr>
      <w:r/>
      <w:bookmarkStart w:id="81" w:name="_Toc1749"/>
      <w:r/>
      <w:bookmarkStart w:id="82" w:name="_Toc24125"/>
      <w:r>
        <w:rPr>
          <w:rFonts w:hint="eastAsia" w:ascii="Times New Roman" w:hAnsi="Times New Roman" w:eastAsia="宋体"/>
          <w:color w:val="auto"/>
          <w:sz w:val="32"/>
          <w:highlight w:val="none"/>
        </w:rPr>
        <w:t xml:space="preserve">六、技术参数响应及偏离表</w:t>
      </w:r>
      <w:bookmarkEnd w:id="80"/>
      <w:r/>
      <w:bookmarkEnd w:id="81"/>
      <w:r/>
      <w:bookmarkEnd w:id="82"/>
      <w:r/>
      <w:r/>
    </w:p>
    <w:tbl>
      <w:tblPr>
        <w:tblStyle w:val="88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4"/>
        <w:pageBreakBefore w:val="0"/>
        <w:spacing w:before="0" w:after="0" w:line="360" w:lineRule="auto"/>
        <w:rPr>
          <w:rFonts w:ascii="Times New Roman" w:hAnsi="Times New Roman" w:eastAsia="宋体"/>
          <w:color w:val="auto"/>
          <w:sz w:val="32"/>
          <w:highlight w:val="none"/>
        </w:rPr>
      </w:pPr>
      <w:r/>
      <w:bookmarkStart w:id="83" w:name="_Hlt26955054"/>
      <w:r/>
      <w:bookmarkEnd w:id="83"/>
      <w:r/>
      <w:bookmarkStart w:id="84" w:name="_Toc16820"/>
      <w:r/>
      <w:bookmarkStart w:id="85" w:name="_Toc13755"/>
      <w:r/>
      <w:bookmarkStart w:id="86" w:name="_Toc28180"/>
      <w:r>
        <w:rPr>
          <w:rFonts w:hint="eastAsia" w:ascii="Times New Roman" w:hAnsi="Times New Roman" w:eastAsia="宋体"/>
          <w:color w:val="auto"/>
          <w:sz w:val="32"/>
          <w:highlight w:val="none"/>
        </w:rPr>
        <w:t xml:space="preserve">七、商务条款响应及偏离表</w:t>
      </w:r>
      <w:bookmarkEnd w:id="84"/>
      <w:r/>
      <w:bookmarkEnd w:id="85"/>
      <w:r/>
      <w:bookmarkEnd w:id="86"/>
      <w:r/>
      <w:r/>
    </w:p>
    <w:tbl>
      <w:tblPr>
        <w:tblStyle w:val="889"/>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7" w:name="_Hlt26955056"/>
            <w:r/>
            <w:bookmarkEnd w:id="87"/>
            <w:r/>
            <w:bookmarkStart w:id="88" w:name="_Hlt26671372"/>
            <w:r/>
            <w:bookmarkEnd w:id="88"/>
            <w:r/>
            <w:bookmarkStart w:id="89" w:name="_Hlt26955064"/>
            <w:r/>
            <w:bookmarkEnd w:id="89"/>
            <w:r/>
            <w:bookmarkStart w:id="90" w:name="_Hlt26580838"/>
            <w:r/>
            <w:bookmarkEnd w:id="90"/>
            <w:r/>
            <w:bookmarkStart w:id="91" w:name="_Hlt24879081"/>
            <w:r/>
            <w:bookmarkEnd w:id="91"/>
            <w:r/>
            <w:bookmarkStart w:id="92" w:name="_Hlt26609391"/>
            <w:r/>
            <w:bookmarkEnd w:id="92"/>
            <w:r/>
            <w:bookmarkStart w:id="93" w:name="_Hlt26671343"/>
            <w:r/>
            <w:bookmarkEnd w:id="93"/>
            <w:r/>
            <w:bookmarkStart w:id="94" w:name="_Hlt26782999"/>
            <w:r/>
            <w:bookmarkEnd w:id="94"/>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91"/>
        <w:ind w:firstLine="480"/>
        <w:pageBreakBefore w:val="0"/>
        <w:spacing w:line="360" w:lineRule="auto"/>
        <w:rPr>
          <w:rFonts w:ascii="Times New Roman" w:hAnsi="Times New Roman" w:eastAsia="宋体"/>
          <w:color w:val="auto"/>
          <w:sz w:val="24"/>
          <w:highlight w:val="none"/>
        </w:rPr>
      </w:pPr>
      <w:r/>
      <w:bookmarkStart w:id="95" w:name="_Hlt26671374"/>
      <w:r/>
      <w:bookmarkEnd w:id="95"/>
      <w:r/>
      <w:bookmarkStart w:id="96" w:name="_Hlt26955066"/>
      <w:r/>
      <w:bookmarkEnd w:id="96"/>
      <w:r/>
      <w:bookmarkStart w:id="97" w:name="_Hlt26609389"/>
      <w:r/>
      <w:bookmarkEnd w:id="97"/>
      <w:r/>
      <w:bookmarkStart w:id="98" w:name="_Toc462564146"/>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1"/>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98"/>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联合体协议（参考格式）（采购包号：**）</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1、我们</w:t>
      </w:r>
      <w:r>
        <w:rPr>
          <w:rFonts w:ascii="Times New Roman" w:hAnsi="Times New Roman" w:eastAsia="宋体" w:cs="宋体"/>
          <w:color w:val="auto"/>
          <w:sz w:val="21"/>
          <w:szCs w:val="21"/>
          <w:highlight w:val="none"/>
          <w:u w:val="single"/>
        </w:rPr>
        <w:t xml:space="preserve"> （供应商1），（供应商2） ，……</w:t>
      </w:r>
      <w:r>
        <w:rPr>
          <w:rFonts w:ascii="Times New Roman" w:hAnsi="Times New Roman" w:eastAsia="宋体" w:cs="宋体"/>
          <w:color w:val="auto"/>
          <w:sz w:val="21"/>
          <w:szCs w:val="21"/>
          <w:highlight w:val="none"/>
        </w:rPr>
        <w:t xml:space="preserve">自愿组成联合体，参加扬州市公共资源交易中心组织的采购编号为</w:t>
      </w:r>
      <w:r>
        <w:rPr>
          <w:rFonts w:ascii="Times New Roman" w:hAnsi="Times New Roman" w:eastAsia="宋体" w:cs="宋体"/>
          <w:color w:val="auto"/>
          <w:sz w:val="21"/>
          <w:szCs w:val="21"/>
          <w:highlight w:val="none"/>
          <w:u w:val="single"/>
        </w:rPr>
        <w:t xml:space="preserve">（编号全称），（项目全称）</w:t>
      </w:r>
      <w:r>
        <w:rPr>
          <w:rFonts w:ascii="Times New Roman" w:hAnsi="Times New Roman" w:eastAsia="宋体" w:cs="宋体"/>
          <w:color w:val="auto"/>
          <w:sz w:val="21"/>
          <w:szCs w:val="21"/>
          <w:highlight w:val="none"/>
        </w:rPr>
        <w:t xml:space="preserve">项目（采购包号：**）的政府采购活动，我联合体指定</w:t>
      </w:r>
      <w:r>
        <w:rPr>
          <w:rFonts w:ascii="Times New Roman" w:hAnsi="Times New Roman" w:eastAsia="宋体" w:cs="宋体"/>
          <w:color w:val="auto"/>
          <w:sz w:val="21"/>
          <w:szCs w:val="21"/>
          <w:highlight w:val="none"/>
          <w:u w:val="single"/>
        </w:rPr>
        <w:t xml:space="preserve">（供应商*）</w:t>
      </w:r>
      <w:r>
        <w:rPr>
          <w:rFonts w:ascii="Times New Roman" w:hAnsi="Times New Roman" w:eastAsia="宋体" w:cs="宋体"/>
          <w:color w:val="auto"/>
          <w:sz w:val="21"/>
          <w:szCs w:val="21"/>
          <w:highlight w:val="none"/>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3、其中</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（小型、微型企业/残疾人福利性单位/监狱企业全称）为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6"/>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联合体中各供应商全称（公章）：     </w:t>
      </w:r>
      <w:r/>
    </w:p>
    <w:p>
      <w:pPr>
        <w:ind w:firstLine="646"/>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日期：</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pPr>
    <w:r>
      <w:rPr>
        <w:rFonts w:hint="eastAsia"/>
        <w:lang w:eastAsia="zh-CN"/>
      </w:rPr>
      <w:t xml:space="preserve">JSZC-321023-SWGC-G2026-0074号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pPr>
    <w:r>
      <w:rPr>
        <w:rFonts w:hint="eastAsia"/>
        <w:lang w:eastAsia="zh-CN"/>
      </w:rPr>
      <w:t xml:space="preserve">JSZC-321023-SWGC-G2026-0074号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pStyle w:val="890"/>
      <w:isLgl w:val="false"/>
      <w:suff w:val="tab"/>
      <w:lvlText w:val="%1、"/>
      <w:lvlJc w:val="left"/>
      <w:pPr>
        <w:ind w:left="3360" w:hanging="420"/>
      </w:pPr>
      <w:rPr>
        <w:b w:val="0"/>
      </w:rPr>
    </w:lvl>
    <w:lvl w:ilvl="1">
      <w:start w:val="1"/>
      <w:numFmt w:val="lowerLetter"/>
      <w:isLgl w:val="false"/>
      <w:suff w:val="tab"/>
      <w:lvlText w:val="%2)"/>
      <w:lvlJc w:val="left"/>
      <w:pPr>
        <w:ind w:left="3780" w:hanging="420"/>
      </w:pPr>
    </w:lvl>
    <w:lvl w:ilvl="2">
      <w:start w:val="1"/>
      <w:numFmt w:val="lowerRoman"/>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lowerRoman"/>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lowerRoman"/>
      <w:isLgl w:val="false"/>
      <w:suff w:val="tab"/>
      <w:lvlText w:val="%9."/>
      <w:lvlJc w:val="right"/>
      <w:pPr>
        <w:ind w:left="6720" w:hanging="420"/>
      </w:p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0"/>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chineseCountingThousand"/>
      <w:isLgl w:val="false"/>
      <w:suff w:val="space"/>
      <w:lvlText w:val="第%1章"/>
      <w:lvlJc w:val="left"/>
      <w:pPr>
        <w:ind w:left="0" w:firstLine="0"/>
      </w:pPr>
      <w:rPr>
        <w:rFonts w:hint="eastAsia" w:ascii="黑体" w:hAnsi="黑体" w:eastAsia="黑体"/>
        <w:b/>
        <w:i w:val="0"/>
        <w:sz w:val="36"/>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pStyle w:val="887"/>
      <w:isLgl/>
      <w:suff w:val="space"/>
      <w:lvlText w:val="%1.%2.%3.%4.%5"/>
      <w:lvlJc w:val="left"/>
      <w:pPr>
        <w:ind w:left="2694" w:firstLine="0"/>
      </w:pPr>
      <w:rPr>
        <w:rFonts w:hint="eastAsia"/>
      </w:rPr>
    </w:lvl>
    <w:lvl w:ilvl="5">
      <w:start w:val="1"/>
      <w:numFmt w:val="decimal"/>
      <w:isLgl/>
      <w:suff w:val="space"/>
      <w:lvlText w:val="%1.%2.%3.%4.%5.%6"/>
      <w:lvlJc w:val="left"/>
      <w:pPr>
        <w:ind w:left="-1"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7">
    <w:multiLevelType w:val="hybridMultilevel"/>
    <w:lvl w:ilvl="0">
      <w:start w:val="1"/>
      <w:numFmt w:val="decimal"/>
      <w:pStyle w:val="963"/>
      <w:isLgl w:val="false"/>
      <w:suff w:val="tab"/>
      <w:lvlText w:val="%1"/>
      <w:lvlJc w:val="left"/>
      <w:pPr>
        <w:ind w:left="432" w:hanging="432"/>
      </w:pPr>
    </w:lvl>
    <w:lvl w:ilvl="1">
      <w:start w:val="1"/>
      <w:numFmt w:val="decimal"/>
      <w:pStyle w:val="964"/>
      <w:isLgl w:val="false"/>
      <w:suff w:val="tab"/>
      <w:lvlText w:val="%1.%2"/>
      <w:lvlJc w:val="left"/>
      <w:pPr>
        <w:ind w:left="576" w:hanging="576"/>
      </w:pPr>
    </w:lvl>
    <w:lvl w:ilvl="2">
      <w:start w:val="1"/>
      <w:numFmt w:val="decimal"/>
      <w:pStyle w:val="966"/>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8"/>
    <w:link w:val="883"/>
    <w:uiPriority w:val="9"/>
    <w:rPr>
      <w:rFonts w:ascii="Arial" w:hAnsi="Arial" w:eastAsia="Arial" w:cs="Arial"/>
      <w:sz w:val="40"/>
      <w:szCs w:val="40"/>
    </w:rPr>
  </w:style>
  <w:style w:type="character" w:styleId="721">
    <w:name w:val="Heading 2 Char"/>
    <w:basedOn w:val="888"/>
    <w:link w:val="884"/>
    <w:uiPriority w:val="9"/>
    <w:rPr>
      <w:rFonts w:ascii="Arial" w:hAnsi="Arial" w:eastAsia="Arial" w:cs="Arial"/>
      <w:sz w:val="34"/>
    </w:rPr>
  </w:style>
  <w:style w:type="character" w:styleId="722">
    <w:name w:val="Heading 3 Char"/>
    <w:basedOn w:val="888"/>
    <w:link w:val="885"/>
    <w:uiPriority w:val="9"/>
    <w:rPr>
      <w:rFonts w:ascii="Arial" w:hAnsi="Arial" w:eastAsia="Arial" w:cs="Arial"/>
      <w:sz w:val="30"/>
      <w:szCs w:val="30"/>
    </w:rPr>
  </w:style>
  <w:style w:type="character" w:styleId="723">
    <w:name w:val="Heading 4 Char"/>
    <w:basedOn w:val="888"/>
    <w:link w:val="886"/>
    <w:uiPriority w:val="9"/>
    <w:rPr>
      <w:rFonts w:ascii="Arial" w:hAnsi="Arial" w:eastAsia="Arial" w:cs="Arial"/>
      <w:b/>
      <w:bCs/>
      <w:sz w:val="26"/>
      <w:szCs w:val="26"/>
    </w:rPr>
  </w:style>
  <w:style w:type="character" w:styleId="724">
    <w:name w:val="Heading 5 Char"/>
    <w:basedOn w:val="888"/>
    <w:link w:val="887"/>
    <w:uiPriority w:val="9"/>
    <w:rPr>
      <w:rFonts w:ascii="Arial" w:hAnsi="Arial" w:eastAsia="Arial" w:cs="Arial"/>
      <w:b/>
      <w:bCs/>
      <w:sz w:val="24"/>
      <w:szCs w:val="24"/>
    </w:rPr>
  </w:style>
  <w:style w:type="paragraph" w:styleId="725">
    <w:name w:val="Heading 6"/>
    <w:basedOn w:val="882"/>
    <w:next w:val="882"/>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88"/>
    <w:link w:val="725"/>
    <w:uiPriority w:val="9"/>
    <w:rPr>
      <w:rFonts w:ascii="Arial" w:hAnsi="Arial" w:eastAsia="Arial" w:cs="Arial"/>
      <w:b/>
      <w:bCs/>
      <w:sz w:val="22"/>
      <w:szCs w:val="22"/>
    </w:rPr>
  </w:style>
  <w:style w:type="paragraph" w:styleId="727">
    <w:name w:val="Heading 7"/>
    <w:basedOn w:val="882"/>
    <w:next w:val="882"/>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88"/>
    <w:link w:val="727"/>
    <w:uiPriority w:val="9"/>
    <w:rPr>
      <w:rFonts w:ascii="Arial" w:hAnsi="Arial" w:eastAsia="Arial" w:cs="Arial"/>
      <w:b/>
      <w:bCs/>
      <w:i/>
      <w:iCs/>
      <w:sz w:val="22"/>
      <w:szCs w:val="22"/>
    </w:rPr>
  </w:style>
  <w:style w:type="paragraph" w:styleId="729">
    <w:name w:val="Heading 8"/>
    <w:basedOn w:val="882"/>
    <w:next w:val="882"/>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88"/>
    <w:link w:val="729"/>
    <w:uiPriority w:val="9"/>
    <w:rPr>
      <w:rFonts w:ascii="Arial" w:hAnsi="Arial" w:eastAsia="Arial" w:cs="Arial"/>
      <w:i/>
      <w:iCs/>
      <w:sz w:val="22"/>
      <w:szCs w:val="22"/>
    </w:rPr>
  </w:style>
  <w:style w:type="paragraph" w:styleId="731">
    <w:name w:val="Heading 9"/>
    <w:basedOn w:val="882"/>
    <w:next w:val="882"/>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88"/>
    <w:link w:val="731"/>
    <w:uiPriority w:val="9"/>
    <w:rPr>
      <w:rFonts w:ascii="Arial" w:hAnsi="Arial" w:eastAsia="Arial" w:cs="Arial"/>
      <w:i/>
      <w:iCs/>
      <w:sz w:val="21"/>
      <w:szCs w:val="21"/>
    </w:rPr>
  </w:style>
  <w:style w:type="paragraph" w:styleId="733">
    <w:name w:val="Title"/>
    <w:basedOn w:val="882"/>
    <w:next w:val="882"/>
    <w:link w:val="734"/>
    <w:uiPriority w:val="10"/>
    <w:qFormat/>
    <w:pPr>
      <w:contextualSpacing/>
      <w:spacing w:before="300" w:after="200"/>
    </w:pPr>
    <w:rPr>
      <w:sz w:val="48"/>
      <w:szCs w:val="48"/>
    </w:rPr>
  </w:style>
  <w:style w:type="character" w:styleId="734">
    <w:name w:val="Title Char"/>
    <w:basedOn w:val="888"/>
    <w:link w:val="733"/>
    <w:uiPriority w:val="10"/>
    <w:rPr>
      <w:sz w:val="48"/>
      <w:szCs w:val="48"/>
    </w:rPr>
  </w:style>
  <w:style w:type="paragraph" w:styleId="735">
    <w:name w:val="Subtitle"/>
    <w:basedOn w:val="882"/>
    <w:next w:val="882"/>
    <w:link w:val="736"/>
    <w:uiPriority w:val="11"/>
    <w:qFormat/>
    <w:pPr>
      <w:spacing w:before="200" w:after="200"/>
    </w:pPr>
    <w:rPr>
      <w:sz w:val="24"/>
      <w:szCs w:val="24"/>
    </w:rPr>
  </w:style>
  <w:style w:type="character" w:styleId="736">
    <w:name w:val="Subtitle Char"/>
    <w:basedOn w:val="888"/>
    <w:link w:val="735"/>
    <w:uiPriority w:val="11"/>
    <w:rPr>
      <w:sz w:val="24"/>
      <w:szCs w:val="24"/>
    </w:rPr>
  </w:style>
  <w:style w:type="paragraph" w:styleId="737">
    <w:name w:val="Quote"/>
    <w:basedOn w:val="882"/>
    <w:next w:val="882"/>
    <w:link w:val="738"/>
    <w:uiPriority w:val="29"/>
    <w:qFormat/>
    <w:pPr>
      <w:ind w:left="720" w:right="720"/>
    </w:pPr>
    <w:rPr>
      <w:i/>
    </w:rPr>
  </w:style>
  <w:style w:type="character" w:styleId="738">
    <w:name w:val="Quote Char"/>
    <w:link w:val="737"/>
    <w:uiPriority w:val="29"/>
    <w:rPr>
      <w:i/>
    </w:rPr>
  </w:style>
  <w:style w:type="paragraph" w:styleId="739">
    <w:name w:val="Intense Quote"/>
    <w:basedOn w:val="882"/>
    <w:next w:val="882"/>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8"/>
    <w:link w:val="901"/>
    <w:uiPriority w:val="99"/>
  </w:style>
  <w:style w:type="character" w:styleId="742">
    <w:name w:val="Footer Char"/>
    <w:basedOn w:val="888"/>
    <w:link w:val="899"/>
    <w:uiPriority w:val="99"/>
  </w:style>
  <w:style w:type="paragraph" w:styleId="743">
    <w:name w:val="Caption"/>
    <w:basedOn w:val="882"/>
    <w:next w:val="882"/>
    <w:uiPriority w:val="35"/>
    <w:semiHidden/>
    <w:unhideWhenUsed/>
    <w:qFormat/>
    <w:pPr>
      <w:spacing w:line="276" w:lineRule="auto"/>
    </w:pPr>
    <w:rPr>
      <w:b/>
      <w:bCs/>
      <w:color w:val="4f81bd" w:themeColor="accent1"/>
      <w:sz w:val="18"/>
      <w:szCs w:val="18"/>
    </w:rPr>
  </w:style>
  <w:style w:type="character" w:styleId="744">
    <w:name w:val="Caption Char"/>
    <w:basedOn w:val="743"/>
    <w:link w:val="899"/>
    <w:uiPriority w:val="99"/>
  </w:style>
  <w:style w:type="table" w:styleId="745">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3">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4">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8">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2"/>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82"/>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3"/>
    <w:basedOn w:val="882"/>
    <w:next w:val="882"/>
    <w:uiPriority w:val="39"/>
    <w:unhideWhenUsed/>
    <w:pPr>
      <w:ind w:left="567" w:right="0" w:firstLine="0"/>
      <w:spacing w:after="57"/>
    </w:pPr>
  </w:style>
  <w:style w:type="paragraph" w:styleId="877">
    <w:name w:val="toc 4"/>
    <w:basedOn w:val="882"/>
    <w:next w:val="882"/>
    <w:uiPriority w:val="39"/>
    <w:unhideWhenUsed/>
    <w:pPr>
      <w:ind w:left="850" w:right="0" w:firstLine="0"/>
      <w:spacing w:after="57"/>
    </w:pPr>
  </w:style>
  <w:style w:type="paragraph" w:styleId="878">
    <w:name w:val="toc 5"/>
    <w:basedOn w:val="882"/>
    <w:next w:val="882"/>
    <w:uiPriority w:val="39"/>
    <w:unhideWhenUsed/>
    <w:pPr>
      <w:ind w:left="1134" w:right="0" w:firstLine="0"/>
      <w:spacing w:after="57"/>
    </w:pPr>
  </w:style>
  <w:style w:type="paragraph" w:styleId="879">
    <w:name w:val="toc 6"/>
    <w:basedOn w:val="882"/>
    <w:next w:val="882"/>
    <w:uiPriority w:val="39"/>
    <w:unhideWhenUsed/>
    <w:pPr>
      <w:ind w:left="1417" w:right="0" w:firstLine="0"/>
      <w:spacing w:after="57"/>
    </w:pPr>
  </w:style>
  <w:style w:type="paragraph" w:styleId="880">
    <w:name w:val="toc 7"/>
    <w:basedOn w:val="882"/>
    <w:next w:val="882"/>
    <w:uiPriority w:val="39"/>
    <w:unhideWhenUsed/>
    <w:pPr>
      <w:ind w:left="1701" w:right="0" w:firstLine="0"/>
      <w:spacing w:after="57"/>
    </w:pPr>
  </w:style>
  <w:style w:type="paragraph" w:styleId="881">
    <w:name w:val="TOC Heading"/>
    <w:uiPriority w:val="39"/>
    <w:unhideWhenUsed/>
  </w:style>
  <w:style w:type="paragraph" w:styleId="882" w:default="1">
    <w:name w:val="Normal"/>
    <w:next w:val="890"/>
    <w:uiPriority w:val="0"/>
    <w:qFormat/>
    <w:pPr>
      <w:jc w:val="both"/>
      <w:widowControl w:val="off"/>
    </w:pPr>
    <w:rPr>
      <w:rFonts w:ascii="Calibri" w:hAnsi="Calibri" w:eastAsia="宋体" w:cs="Times New Roman"/>
      <w:sz w:val="21"/>
      <w:szCs w:val="22"/>
      <w:lang w:val="en-US" w:eastAsia="zh-CN" w:bidi="ar-SA"/>
    </w:rPr>
  </w:style>
  <w:style w:type="paragraph" w:styleId="883">
    <w:name w:val="Heading 1"/>
    <w:basedOn w:val="882"/>
    <w:next w:val="882"/>
    <w:uiPriority w:val="9"/>
    <w:qFormat/>
    <w:pPr>
      <w:keepLines/>
      <w:keepNext/>
      <w:spacing w:before="340" w:after="330" w:line="578" w:lineRule="auto"/>
      <w:outlineLvl w:val="0"/>
    </w:pPr>
    <w:rPr>
      <w:b/>
      <w:bCs/>
      <w:sz w:val="44"/>
      <w:szCs w:val="44"/>
    </w:rPr>
  </w:style>
  <w:style w:type="paragraph" w:styleId="884">
    <w:name w:val="Heading 2"/>
    <w:basedOn w:val="886"/>
    <w:next w:val="882"/>
    <w:uiPriority w:val="0"/>
    <w:qFormat/>
    <w:pPr>
      <w:jc w:val="center"/>
      <w:keepLines/>
      <w:keepNext/>
      <w:spacing w:before="260" w:after="260" w:line="416" w:lineRule="auto"/>
      <w:outlineLvl w:val="1"/>
    </w:pPr>
    <w:rPr>
      <w:rFonts w:ascii="Arial" w:hAnsi="Arial" w:eastAsia="幼圆" w:cs="Arial"/>
      <w:sz w:val="44"/>
      <w:szCs w:val="44"/>
    </w:rPr>
  </w:style>
  <w:style w:type="paragraph" w:styleId="885">
    <w:name w:val="Heading 3"/>
    <w:basedOn w:val="882"/>
    <w:next w:val="882"/>
    <w:uiPriority w:val="0"/>
    <w:qFormat/>
    <w:pPr>
      <w:keepLines/>
      <w:keepNext/>
      <w:spacing w:before="260" w:after="260" w:line="416" w:lineRule="auto"/>
      <w:outlineLvl w:val="2"/>
    </w:pPr>
    <w:rPr>
      <w:b/>
      <w:bCs/>
      <w:sz w:val="32"/>
      <w:szCs w:val="32"/>
    </w:rPr>
  </w:style>
  <w:style w:type="paragraph" w:styleId="886">
    <w:name w:val="Heading 4"/>
    <w:basedOn w:val="887"/>
    <w:next w:val="882"/>
    <w:uiPriority w:val="9"/>
    <w:qFormat/>
    <w:pPr>
      <w:spacing w:before="280" w:after="290" w:line="374" w:lineRule="auto"/>
      <w:outlineLvl w:val="3"/>
    </w:pPr>
    <w:rPr>
      <w:rFonts w:ascii="Arial" w:hAnsi="Arial" w:eastAsia="黑体"/>
      <w:b/>
      <w:sz w:val="28"/>
      <w:szCs w:val="28"/>
    </w:rPr>
  </w:style>
  <w:style w:type="paragraph" w:styleId="887">
    <w:name w:val="Heading 5"/>
    <w:basedOn w:val="882"/>
    <w:next w:val="882"/>
    <w:uiPriority w:val="9"/>
    <w:qFormat/>
    <w:pPr>
      <w:numPr>
        <w:ilvl w:val="4"/>
        <w:numId w:val="1"/>
      </w:numPr>
      <w:ind w:left="425"/>
      <w:spacing w:before="280" w:after="290"/>
      <w:outlineLvl w:val="4"/>
    </w:pPr>
    <w:rPr>
      <w:bCs/>
      <w:szCs w:val="28"/>
    </w:rPr>
  </w:style>
  <w:style w:type="character" w:styleId="888" w:default="1">
    <w:name w:val="Default Paragraph Font"/>
    <w:uiPriority w:val="1"/>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customStyle="1">
    <w:name w:val="列表项目符号 211"/>
    <w:basedOn w:val="882"/>
    <w:uiPriority w:val="0"/>
    <w:unhideWhenUsed/>
    <w:qFormat/>
    <w:pPr>
      <w:numPr>
        <w:ilvl w:val="0"/>
        <w:numId w:val="2"/>
      </w:numPr>
      <w:ind w:left="0" w:firstLine="0"/>
      <w:tabs>
        <w:tab w:val="left" w:pos="780" w:leader="none"/>
      </w:tabs>
    </w:pPr>
    <w:rPr>
      <w:rFonts w:ascii="Times New Roman" w:hAnsi="Times New Roman" w:cs="Times New Roman"/>
      <w:szCs w:val="24"/>
    </w:rPr>
  </w:style>
  <w:style w:type="paragraph" w:styleId="891">
    <w:name w:val="Normal Indent"/>
    <w:basedOn w:val="882"/>
    <w:uiPriority w:val="0"/>
    <w:unhideWhenUsed/>
    <w:qFormat/>
    <w:pPr>
      <w:ind w:firstLine="420"/>
    </w:pPr>
  </w:style>
  <w:style w:type="paragraph" w:styleId="892">
    <w:name w:val="annotation text"/>
    <w:basedOn w:val="882"/>
    <w:link w:val="941"/>
    <w:uiPriority w:val="0"/>
    <w:qFormat/>
    <w:pPr>
      <w:jc w:val="left"/>
    </w:pPr>
  </w:style>
  <w:style w:type="paragraph" w:styleId="893">
    <w:name w:val="Body Text"/>
    <w:basedOn w:val="882"/>
    <w:next w:val="882"/>
    <w:uiPriority w:val="0"/>
    <w:qFormat/>
    <w:rPr>
      <w:rFonts w:ascii="楷体_GB2312" w:hAnsi="Arial" w:eastAsia="楷体_GB2312"/>
      <w:sz w:val="28"/>
      <w:szCs w:val="28"/>
    </w:rPr>
  </w:style>
  <w:style w:type="paragraph" w:styleId="894">
    <w:name w:val="Body Text Indent"/>
    <w:basedOn w:val="882"/>
    <w:uiPriority w:val="0"/>
    <w:qFormat/>
    <w:pPr>
      <w:ind w:left="420"/>
      <w:spacing w:after="120"/>
    </w:pPr>
    <w:rPr>
      <w:rFonts w:ascii="等线" w:hAnsi="等线" w:eastAsia="等线"/>
    </w:rPr>
  </w:style>
  <w:style w:type="paragraph" w:styleId="895">
    <w:name w:val="Plain Text"/>
    <w:basedOn w:val="882"/>
    <w:uiPriority w:val="99"/>
    <w:qFormat/>
    <w:rPr>
      <w:rFonts w:ascii="宋体" w:hAnsi="Courier New"/>
      <w:sz w:val="20"/>
      <w:szCs w:val="21"/>
    </w:rPr>
  </w:style>
  <w:style w:type="paragraph" w:styleId="896">
    <w:name w:val="toc 8"/>
    <w:basedOn w:val="882"/>
    <w:next w:val="882"/>
    <w:uiPriority w:val="39"/>
    <w:unhideWhenUsed/>
    <w:qFormat/>
    <w:pPr>
      <w:ind w:left="1984"/>
      <w:spacing w:after="57"/>
    </w:pPr>
  </w:style>
  <w:style w:type="paragraph" w:styleId="897">
    <w:name w:val="Body Text Indent 2"/>
    <w:basedOn w:val="882"/>
    <w:uiPriority w:val="0"/>
    <w:qFormat/>
    <w:pPr>
      <w:ind w:left="640"/>
      <w:spacing w:after="120" w:line="480" w:lineRule="auto"/>
    </w:pPr>
    <w:rPr>
      <w:rFonts w:eastAsia="仿宋_GB2312"/>
      <w:sz w:val="32"/>
      <w:szCs w:val="28"/>
    </w:rPr>
  </w:style>
  <w:style w:type="paragraph" w:styleId="898">
    <w:name w:val="Balloon Text"/>
    <w:basedOn w:val="882"/>
    <w:link w:val="932"/>
    <w:uiPriority w:val="0"/>
    <w:qFormat/>
    <w:rPr>
      <w:sz w:val="18"/>
      <w:szCs w:val="18"/>
    </w:rPr>
  </w:style>
  <w:style w:type="paragraph" w:styleId="899">
    <w:name w:val="Footer"/>
    <w:basedOn w:val="882"/>
    <w:uiPriority w:val="99"/>
    <w:unhideWhenUsed/>
    <w:qFormat/>
    <w:pPr>
      <w:jc w:val="left"/>
      <w:tabs>
        <w:tab w:val="center" w:pos="4153" w:leader="none"/>
        <w:tab w:val="right" w:pos="8306" w:leader="none"/>
      </w:tabs>
    </w:pPr>
    <w:rPr>
      <w:sz w:val="18"/>
      <w:szCs w:val="18"/>
    </w:rPr>
  </w:style>
  <w:style w:type="paragraph" w:styleId="900">
    <w:name w:val="envelope return"/>
    <w:basedOn w:val="882"/>
    <w:uiPriority w:val="99"/>
    <w:unhideWhenUsed/>
    <w:qFormat/>
    <w:rPr>
      <w:rFonts w:ascii="Arial" w:hAnsi="Arial"/>
    </w:rPr>
  </w:style>
  <w:style w:type="paragraph" w:styleId="901">
    <w:name w:val="Header"/>
    <w:basedOn w:val="8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82"/>
    <w:next w:val="882"/>
    <w:uiPriority w:val="39"/>
    <w:unhideWhenUsed/>
    <w:qFormat/>
  </w:style>
  <w:style w:type="paragraph" w:styleId="903">
    <w:name w:val="table of figures"/>
    <w:basedOn w:val="882"/>
    <w:next w:val="882"/>
    <w:uiPriority w:val="99"/>
    <w:unhideWhenUsed/>
    <w:qFormat/>
    <w:pPr>
      <w:spacing w:after="0" w:afterAutospacing="0"/>
    </w:pPr>
  </w:style>
  <w:style w:type="paragraph" w:styleId="904">
    <w:name w:val="toc 2"/>
    <w:basedOn w:val="882"/>
    <w:next w:val="882"/>
    <w:uiPriority w:val="0"/>
    <w:qFormat/>
    <w:pPr>
      <w:ind w:left="420"/>
    </w:pPr>
  </w:style>
  <w:style w:type="paragraph" w:styleId="905">
    <w:name w:val="toc 9"/>
    <w:basedOn w:val="882"/>
    <w:next w:val="882"/>
    <w:uiPriority w:val="0"/>
    <w:qFormat/>
    <w:pPr>
      <w:ind w:left="3360"/>
    </w:pPr>
    <w:rPr>
      <w:rFonts w:ascii="Times New Roman" w:hAnsi="Times New Roman"/>
    </w:rPr>
  </w:style>
  <w:style w:type="paragraph" w:styleId="906">
    <w:name w:val="Body Text 2"/>
    <w:basedOn w:val="882"/>
    <w:uiPriority w:val="0"/>
    <w:qFormat/>
    <w:pPr>
      <w:spacing w:after="120" w:line="480" w:lineRule="auto"/>
    </w:pPr>
  </w:style>
  <w:style w:type="paragraph" w:styleId="907">
    <w:name w:val="Message Header"/>
    <w:basedOn w:val="88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8">
    <w:name w:val="Normal (Web)"/>
    <w:basedOn w:val="882"/>
    <w:uiPriority w:val="0"/>
    <w:qFormat/>
    <w:rPr>
      <w:rFonts w:ascii="Times New Roman" w:hAnsi="Times New Roman"/>
      <w:sz w:val="24"/>
    </w:rPr>
  </w:style>
  <w:style w:type="paragraph" w:styleId="909">
    <w:name w:val="annotation subject"/>
    <w:basedOn w:val="892"/>
    <w:next w:val="892"/>
    <w:link w:val="942"/>
    <w:uiPriority w:val="0"/>
    <w:qFormat/>
    <w:rPr>
      <w:b/>
      <w:bCs/>
    </w:rPr>
  </w:style>
  <w:style w:type="paragraph" w:styleId="910">
    <w:name w:val="Body Text First Indent 2"/>
    <w:basedOn w:val="894"/>
    <w:uiPriority w:val="0"/>
    <w:qFormat/>
    <w:pPr>
      <w:ind w:firstLine="420"/>
      <w:spacing w:before="100" w:beforeAutospacing="1"/>
    </w:pPr>
    <w:rPr>
      <w:rFonts w:ascii="Times New Roman" w:hAnsi="Times New Roman" w:eastAsia="宋体"/>
      <w:sz w:val="20"/>
      <w:szCs w:val="21"/>
    </w:rPr>
  </w:style>
  <w:style w:type="table" w:styleId="911">
    <w:name w:val="Table Grid"/>
    <w:basedOn w:val="8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uiPriority w:val="0"/>
    <w:qFormat/>
    <w:rPr>
      <w:b/>
    </w:rPr>
  </w:style>
  <w:style w:type="character" w:styleId="913">
    <w:name w:val="Emphasis"/>
    <w:uiPriority w:val="0"/>
    <w:qFormat/>
    <w:rPr>
      <w:i/>
    </w:rPr>
  </w:style>
  <w:style w:type="character" w:styleId="914">
    <w:name w:val="Hyperlink"/>
    <w:basedOn w:val="888"/>
    <w:uiPriority w:val="0"/>
    <w:qFormat/>
    <w:rPr>
      <w:color w:val="0000ff"/>
      <w:u w:val="single"/>
    </w:rPr>
  </w:style>
  <w:style w:type="character" w:styleId="915">
    <w:name w:val="annotation reference"/>
    <w:basedOn w:val="888"/>
    <w:uiPriority w:val="0"/>
    <w:qFormat/>
    <w:rPr>
      <w:sz w:val="21"/>
      <w:szCs w:val="21"/>
    </w:rPr>
  </w:style>
  <w:style w:type="paragraph" w:styleId="916" w:customStyle="1">
    <w:name w:val="正文（缩进）"/>
    <w:basedOn w:val="882"/>
    <w:next w:val="917"/>
    <w:uiPriority w:val="0"/>
    <w:qFormat/>
    <w:pPr>
      <w:ind w:firstLine="480"/>
      <w:spacing w:before="156" w:after="156"/>
    </w:pPr>
  </w:style>
  <w:style w:type="paragraph" w:styleId="917" w:customStyle="1">
    <w:name w:val="Char Char Char Char Char Char Char Char Char"/>
    <w:basedOn w:val="882"/>
    <w:next w:val="918"/>
    <w:uiPriority w:val="0"/>
    <w:qFormat/>
    <w:pPr>
      <w:ind w:left="360" w:firstLine="5784"/>
    </w:pPr>
  </w:style>
  <w:style w:type="paragraph" w:styleId="918" w:customStyle="1">
    <w:name w:val="正文文本 21"/>
    <w:basedOn w:val="882"/>
    <w:next w:val="919"/>
    <w:uiPriority w:val="0"/>
    <w:qFormat/>
    <w:pPr>
      <w:spacing w:after="120" w:line="480" w:lineRule="auto"/>
    </w:pPr>
  </w:style>
  <w:style w:type="paragraph" w:styleId="919" w:customStyle="1">
    <w:name w:val="默认段落字体 Para Char Char Char Char Char Char Char"/>
    <w:basedOn w:val="882"/>
    <w:next w:val="920"/>
    <w:uiPriority w:val="0"/>
    <w:qFormat/>
    <w:pPr>
      <w:ind w:firstLine="200"/>
    </w:pPr>
    <w:rPr>
      <w:rFonts w:ascii="Times New Roman" w:hAnsi="Times New Roman" w:cs="Arial"/>
    </w:rPr>
  </w:style>
  <w:style w:type="paragraph" w:styleId="920" w:customStyle="1">
    <w:name w:val="样式 首行缩进:  2 字符"/>
    <w:basedOn w:val="882"/>
    <w:next w:val="921"/>
    <w:uiPriority w:val="0"/>
    <w:qFormat/>
    <w:pPr>
      <w:ind w:left="480" w:firstLine="5856"/>
      <w:spacing w:line="360" w:lineRule="auto"/>
    </w:pPr>
    <w:rPr>
      <w:rFonts w:ascii="Times New Roman" w:hAnsi="Times New Roman"/>
    </w:rPr>
  </w:style>
  <w:style w:type="paragraph" w:styleId="921" w:customStyle="1">
    <w:name w:val="样式 段后: 0.25 行"/>
    <w:basedOn w:val="882"/>
    <w:next w:val="922"/>
    <w:uiPriority w:val="0"/>
    <w:qFormat/>
    <w:pPr>
      <w:ind w:left="420" w:firstLine="5796"/>
      <w:spacing w:line="300" w:lineRule="auto"/>
      <w:widowControl/>
    </w:pPr>
    <w:rPr>
      <w:rFonts w:ascii="Times New Roman" w:hAnsi="Times New Roman"/>
    </w:rPr>
  </w:style>
  <w:style w:type="paragraph" w:styleId="922" w:customStyle="1">
    <w:name w:val="正文 New New New New New New New New New New New New New New"/>
    <w:next w:val="905"/>
    <w:uiPriority w:val="0"/>
    <w:qFormat/>
    <w:pPr>
      <w:ind w:firstLine="2048"/>
      <w:jc w:val="both"/>
      <w:widowControl w:val="off"/>
    </w:pPr>
    <w:rPr>
      <w:rFonts w:ascii="Calibri" w:hAnsi="Calibri" w:eastAsia="宋体" w:cs="Times New Roman"/>
      <w:lang w:val="en-US" w:eastAsia="zh-CN" w:bidi="ar-SA"/>
    </w:rPr>
  </w:style>
  <w:style w:type="paragraph" w:styleId="923" w:customStyle="1">
    <w:name w:val="首行缩进"/>
    <w:basedOn w:val="882"/>
    <w:uiPriority w:val="0"/>
    <w:qFormat/>
    <w:pPr>
      <w:ind w:firstLine="420"/>
      <w:spacing w:line="360" w:lineRule="auto"/>
    </w:pPr>
  </w:style>
  <w:style w:type="paragraph" w:styleId="924"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25" w:customStyle="1">
    <w:name w:val="正文1"/>
    <w:basedOn w:val="882"/>
    <w:next w:val="926"/>
    <w:uiPriority w:val="0"/>
    <w:qFormat/>
    <w:pPr>
      <w:jc w:val="left"/>
      <w:spacing w:line="360" w:lineRule="atLeast"/>
    </w:pPr>
    <w:rPr>
      <w:rFonts w:ascii="宋体" w:hAnsiTheme="minorHAnsi" w:eastAsiaTheme="minorEastAsia" w:cstheme="minorBidi"/>
      <w:sz w:val="24"/>
      <w:szCs w:val="20"/>
    </w:rPr>
  </w:style>
  <w:style w:type="paragraph" w:styleId="926" w:customStyle="1">
    <w:name w:val="正文文本1"/>
    <w:basedOn w:val="925"/>
    <w:next w:val="927"/>
    <w:uiPriority w:val="0"/>
    <w:qFormat/>
    <w:pPr>
      <w:spacing w:after="120"/>
    </w:pPr>
    <w:rPr>
      <w:lang w:eastAsia="en-US"/>
    </w:rPr>
  </w:style>
  <w:style w:type="paragraph" w:styleId="927" w:customStyle="1">
    <w:name w:val="一级条标题"/>
    <w:basedOn w:val="928"/>
    <w:next w:val="9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88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9" w:customStyle="1">
    <w:name w:val="段"/>
    <w:basedOn w:val="925"/>
    <w:next w:val="882"/>
    <w:uiPriority w:val="0"/>
    <w:qFormat/>
    <w:pPr>
      <w:ind w:firstLine="200"/>
      <w:widowControl/>
    </w:pPr>
    <w:rPr>
      <w:sz w:val="20"/>
    </w:rPr>
  </w:style>
  <w:style w:type="paragraph" w:styleId="930" w:customStyle="1">
    <w:name w:val="普通正文"/>
    <w:basedOn w:val="882"/>
    <w:uiPriority w:val="0"/>
    <w:qFormat/>
    <w:pPr>
      <w:ind w:firstLine="480"/>
      <w:jc w:val="left"/>
      <w:spacing w:before="120" w:after="120" w:line="360" w:lineRule="auto"/>
    </w:pPr>
    <w:rPr>
      <w:rFonts w:ascii="Arial" w:hAnsi="Arial"/>
      <w:sz w:val="24"/>
      <w:szCs w:val="24"/>
    </w:rPr>
  </w:style>
  <w:style w:type="paragraph" w:styleId="931" w:customStyle="1">
    <w:name w:val="Char"/>
    <w:basedOn w:val="882"/>
    <w:uiPriority w:val="0"/>
    <w:qFormat/>
    <w:pPr>
      <w:ind w:firstLine="200"/>
      <w:tabs>
        <w:tab w:val="left" w:pos="360" w:leader="none"/>
      </w:tabs>
    </w:pPr>
    <w:rPr>
      <w:rFonts w:ascii="Times New Roman" w:hAnsi="Times New Roman"/>
      <w:sz w:val="28"/>
      <w:szCs w:val="30"/>
    </w:rPr>
  </w:style>
  <w:style w:type="character" w:styleId="932" w:customStyle="1">
    <w:name w:val="批注框文本 字符"/>
    <w:basedOn w:val="888"/>
    <w:link w:val="898"/>
    <w:uiPriority w:val="0"/>
    <w:qFormat/>
    <w:rPr>
      <w:sz w:val="18"/>
      <w:szCs w:val="18"/>
    </w:rPr>
  </w:style>
  <w:style w:type="paragraph" w:styleId="933" w:customStyle="1">
    <w:name w:val="Table Paragraph"/>
    <w:basedOn w:val="882"/>
    <w:uiPriority w:val="1"/>
    <w:qFormat/>
    <w:rPr>
      <w:rFonts w:ascii="Noto Sans CJK JP Regular" w:hAnsi="Noto Sans CJK JP Regular" w:eastAsia="Noto Sans CJK JP Regular" w:cs="Noto Sans CJK JP Regular"/>
    </w:rPr>
  </w:style>
  <w:style w:type="paragraph" w:styleId="934" w:customStyle="1">
    <w:name w:val="正文（1）"/>
    <w:basedOn w:val="882"/>
    <w:uiPriority w:val="0"/>
    <w:qFormat/>
    <w:pPr>
      <w:numPr>
        <w:ilvl w:val="0"/>
        <w:numId w:val="3"/>
      </w:numPr>
      <w:ind w:firstLine="200"/>
    </w:pPr>
    <w:rPr>
      <w:szCs w:val="24"/>
    </w:rPr>
  </w:style>
  <w:style w:type="paragraph" w:styleId="935" w:customStyle="1">
    <w:name w:val="朱-正文"/>
    <w:basedOn w:val="882"/>
    <w:uiPriority w:val="0"/>
    <w:qFormat/>
    <w:pPr>
      <w:ind w:firstLine="200"/>
    </w:pPr>
    <w:rPr>
      <w:rFonts w:ascii="Times New Roman"/>
      <w:color w:val="000000"/>
      <w:szCs w:val="24"/>
      <w:lang w:val="en-GB"/>
    </w:rPr>
  </w:style>
  <w:style w:type="paragraph" w:styleId="936" w:customStyle="1">
    <w:name w:val="GP正文(首行缩进)"/>
    <w:basedOn w:val="882"/>
    <w:uiPriority w:val="0"/>
    <w:qFormat/>
    <w:pPr>
      <w:ind w:firstLine="480"/>
      <w:jc w:val="left"/>
    </w:pPr>
    <w:rPr>
      <w:rFonts w:ascii="Times New Roman" w:hAnsi="宋体"/>
      <w:sz w:val="24"/>
      <w:szCs w:val="24"/>
    </w:rPr>
  </w:style>
  <w:style w:type="character" w:styleId="937" w:customStyle="1">
    <w:name w:val="font71"/>
    <w:basedOn w:val="888"/>
    <w:uiPriority w:val="0"/>
    <w:qFormat/>
    <w:rPr>
      <w:rFonts w:hint="eastAsia" w:ascii="宋体" w:hAnsi="宋体" w:eastAsia="宋体" w:cs="宋体"/>
      <w:color w:val="ff0000"/>
      <w:sz w:val="21"/>
      <w:szCs w:val="21"/>
      <w:u w:val="none"/>
    </w:rPr>
  </w:style>
  <w:style w:type="character" w:styleId="938" w:customStyle="1">
    <w:name w:val="font41"/>
    <w:basedOn w:val="888"/>
    <w:uiPriority w:val="0"/>
    <w:qFormat/>
    <w:rPr>
      <w:rFonts w:hint="eastAsia" w:ascii="宋体" w:hAnsi="宋体" w:eastAsia="宋体" w:cs="宋体"/>
      <w:color w:val="000000"/>
      <w:sz w:val="21"/>
      <w:szCs w:val="21"/>
      <w:u w:val="none"/>
    </w:rPr>
  </w:style>
  <w:style w:type="paragraph" w:styleId="939">
    <w:name w:val="List Paragraph"/>
    <w:basedOn w:val="882"/>
    <w:uiPriority w:val="0"/>
    <w:qFormat/>
    <w:pPr>
      <w:ind w:firstLine="420"/>
    </w:pPr>
  </w:style>
  <w:style w:type="paragraph" w:styleId="940" w:customStyle="1">
    <w:name w:val="列出段落2"/>
    <w:basedOn w:val="882"/>
    <w:uiPriority w:val="34"/>
    <w:qFormat/>
    <w:pPr>
      <w:ind w:firstLine="420"/>
    </w:pPr>
    <w:rPr>
      <w:rFonts w:ascii="宋体"/>
      <w:color w:val="404040"/>
    </w:rPr>
  </w:style>
  <w:style w:type="character" w:styleId="941" w:customStyle="1">
    <w:name w:val="批注文字 字符"/>
    <w:basedOn w:val="888"/>
    <w:link w:val="892"/>
    <w:uiPriority w:val="0"/>
    <w:qFormat/>
    <w:rPr>
      <w:rFonts w:ascii="Calibri" w:hAnsi="Calibri"/>
      <w:sz w:val="21"/>
      <w:szCs w:val="22"/>
    </w:rPr>
  </w:style>
  <w:style w:type="character" w:styleId="942" w:customStyle="1">
    <w:name w:val="批注主题 字符"/>
    <w:basedOn w:val="941"/>
    <w:link w:val="909"/>
    <w:uiPriority w:val="0"/>
    <w:qFormat/>
    <w:rPr>
      <w:rFonts w:ascii="Calibri" w:hAnsi="Calibri"/>
      <w:b/>
      <w:bCs/>
      <w:sz w:val="21"/>
      <w:szCs w:val="22"/>
    </w:rPr>
  </w:style>
  <w:style w:type="paragraph" w:styleId="943" w:customStyle="1">
    <w:name w:val="列表段落1"/>
    <w:basedOn w:val="882"/>
    <w:uiPriority w:val="0"/>
    <w:qFormat/>
    <w:pPr>
      <w:ind w:firstLine="200"/>
    </w:pPr>
    <w:rPr>
      <w:rFonts w:cs="宋体"/>
    </w:rPr>
  </w:style>
  <w:style w:type="character" w:styleId="944" w:customStyle="1">
    <w:name w:val="font51"/>
    <w:basedOn w:val="888"/>
    <w:uiPriority w:val="0"/>
    <w:qFormat/>
    <w:rPr>
      <w:rFonts w:hint="eastAsia" w:ascii="宋体" w:hAnsi="宋体" w:eastAsia="宋体" w:cs="宋体"/>
      <w:color w:val="000000"/>
      <w:sz w:val="24"/>
      <w:szCs w:val="24"/>
      <w:u w:val="none"/>
      <w:vertAlign w:val="subscript"/>
    </w:rPr>
  </w:style>
  <w:style w:type="character" w:styleId="945" w:customStyle="1">
    <w:name w:val="font61"/>
    <w:basedOn w:val="888"/>
    <w:uiPriority w:val="0"/>
    <w:qFormat/>
    <w:rPr>
      <w:rFonts w:hint="eastAsia" w:ascii="宋体" w:hAnsi="宋体" w:eastAsia="宋体" w:cs="宋体"/>
      <w:color w:val="000000"/>
      <w:sz w:val="24"/>
      <w:szCs w:val="24"/>
      <w:u w:val="none"/>
    </w:rPr>
  </w:style>
  <w:style w:type="character" w:styleId="946" w:customStyle="1">
    <w:name w:val="font01"/>
    <w:basedOn w:val="888"/>
    <w:uiPriority w:val="0"/>
    <w:qFormat/>
    <w:rPr>
      <w:rFonts w:hint="eastAsia" w:ascii="宋体" w:hAnsi="宋体" w:eastAsia="宋体" w:cs="宋体"/>
      <w:color w:val="000000"/>
      <w:sz w:val="24"/>
      <w:szCs w:val="24"/>
      <w:u w:val="none"/>
    </w:rPr>
  </w:style>
  <w:style w:type="character" w:styleId="947" w:customStyle="1">
    <w:name w:val="font81"/>
    <w:basedOn w:val="888"/>
    <w:uiPriority w:val="0"/>
    <w:qFormat/>
    <w:rPr>
      <w:rFonts w:ascii="微软雅黑" w:hAnsi="微软雅黑" w:eastAsia="微软雅黑" w:cs="微软雅黑"/>
      <w:color w:val="000000"/>
      <w:sz w:val="24"/>
      <w:szCs w:val="24"/>
      <w:u w:val="none"/>
    </w:rPr>
  </w:style>
  <w:style w:type="character" w:styleId="948" w:customStyle="1">
    <w:name w:val="font91"/>
    <w:basedOn w:val="888"/>
    <w:uiPriority w:val="0"/>
    <w:qFormat/>
    <w:rPr>
      <w:rFonts w:ascii="Segoe UI Symbol" w:hAnsi="Segoe UI Symbol" w:eastAsia="Segoe UI Symbol" w:cs="Segoe UI Symbol"/>
      <w:color w:val="000000"/>
      <w:sz w:val="24"/>
      <w:szCs w:val="24"/>
      <w:u w:val="none"/>
    </w:rPr>
  </w:style>
  <w:style w:type="character" w:styleId="949" w:customStyle="1">
    <w:name w:val="font101"/>
    <w:basedOn w:val="888"/>
    <w:uiPriority w:val="0"/>
    <w:qFormat/>
    <w:rPr>
      <w:rFonts w:ascii="Calibri" w:hAnsi="Calibri" w:cs="Calibri"/>
      <w:color w:val="000000"/>
      <w:sz w:val="24"/>
      <w:szCs w:val="24"/>
      <w:u w:val="none"/>
    </w:rPr>
  </w:style>
  <w:style w:type="paragraph" w:styleId="950"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51" w:customStyle="1">
    <w:name w:val="TableEmphasis"/>
    <w:basedOn w:val="882"/>
    <w:uiPriority w:val="0"/>
    <w:qFormat/>
    <w:rPr>
      <w:rFonts w:ascii="Times New Roman" w:hAnsi="Times New Roman" w:eastAsia="Times New Roman"/>
      <w:b/>
      <w:bCs/>
      <w:color w:val="3333ff"/>
      <w:sz w:val="16"/>
      <w:szCs w:val="18"/>
    </w:rPr>
  </w:style>
  <w:style w:type="paragraph" w:styleId="952" w:customStyle="1">
    <w:name w:val="修订1"/>
    <w:hidden/>
    <w:uiPriority w:val="99"/>
    <w:unhideWhenUsed/>
    <w:qFormat/>
    <w:rPr>
      <w:rFonts w:ascii="Calibri" w:hAnsi="Calibri" w:eastAsia="宋体" w:cs="Times New Roman"/>
      <w:sz w:val="21"/>
      <w:szCs w:val="22"/>
      <w:lang w:val="en-US" w:eastAsia="zh-CN" w:bidi="ar-SA"/>
    </w:rPr>
  </w:style>
  <w:style w:type="paragraph" w:styleId="953" w:customStyle="1">
    <w:name w:val="修订2"/>
    <w:hidden/>
    <w:uiPriority w:val="99"/>
    <w:semiHidden/>
    <w:qFormat/>
    <w:rPr>
      <w:rFonts w:ascii="Calibri" w:hAnsi="Calibri" w:eastAsia="宋体" w:cs="Times New Roman"/>
      <w:sz w:val="21"/>
      <w:szCs w:val="22"/>
      <w:lang w:val="en-US" w:eastAsia="zh-CN" w:bidi="ar-SA"/>
    </w:rPr>
  </w:style>
  <w:style w:type="character" w:styleId="954" w:customStyle="1">
    <w:name w:val="font11"/>
    <w:basedOn w:val="888"/>
    <w:uiPriority w:val="0"/>
    <w:qFormat/>
    <w:rPr>
      <w:rFonts w:hint="eastAsia" w:ascii="宋体" w:hAnsi="宋体" w:eastAsia="宋体" w:cs="宋体"/>
      <w:color w:val="000000"/>
      <w:sz w:val="24"/>
      <w:szCs w:val="24"/>
      <w:u w:val="none"/>
    </w:rPr>
  </w:style>
  <w:style w:type="character" w:styleId="955" w:customStyle="1">
    <w:name w:val="font21"/>
    <w:basedOn w:val="888"/>
    <w:uiPriority w:val="0"/>
    <w:qFormat/>
    <w:rPr>
      <w:rFonts w:ascii="Segoe UI Symbol" w:hAnsi="Segoe UI Symbol" w:eastAsia="Segoe UI Symbol" w:cs="Segoe UI Symbol"/>
      <w:color w:val="000000"/>
      <w:sz w:val="24"/>
      <w:szCs w:val="24"/>
      <w:u w:val="none"/>
    </w:rPr>
  </w:style>
  <w:style w:type="character" w:styleId="956" w:customStyle="1">
    <w:name w:val="NormalCharacter"/>
    <w:uiPriority w:val="0"/>
    <w:semiHidden/>
    <w:qFormat/>
  </w:style>
  <w:style w:type="paragraph" w:styleId="957" w:customStyle="1">
    <w:name w:val="日期1"/>
    <w:basedOn w:val="882"/>
    <w:next w:val="882"/>
    <w:uiPriority w:val="0"/>
    <w:qFormat/>
    <w:pPr>
      <w:ind w:left="100"/>
    </w:pPr>
    <w:rPr>
      <w:rFonts w:ascii="Times New Roman" w:hAnsi="Times New Roman" w:eastAsia="楷体_GB2312"/>
      <w:b/>
      <w:bCs/>
      <w:sz w:val="32"/>
    </w:rPr>
  </w:style>
  <w:style w:type="paragraph" w:styleId="958" w:customStyle="1">
    <w:name w:val="正文文本缩进1"/>
    <w:basedOn w:val="882"/>
    <w:next w:val="882"/>
    <w:uiPriority w:val="0"/>
    <w:qFormat/>
    <w:pPr>
      <w:ind w:left="420"/>
      <w:spacing w:after="120"/>
    </w:pPr>
    <w:rPr>
      <w:rFonts w:ascii="Times New Roman" w:hAnsi="Times New Roman"/>
      <w:sz w:val="20"/>
      <w:szCs w:val="24"/>
    </w:rPr>
  </w:style>
  <w:style w:type="paragraph" w:styleId="959" w:customStyle="1">
    <w:name w:val="BodyText"/>
    <w:basedOn w:val="882"/>
    <w:uiPriority w:val="0"/>
    <w:qFormat/>
    <w:rPr>
      <w:rFonts w:ascii="楷体_GB2312" w:hAnsi="Arial" w:eastAsia="楷体_GB2312"/>
      <w:sz w:val="28"/>
      <w:szCs w:val="28"/>
    </w:rPr>
  </w:style>
  <w:style w:type="paragraph" w:styleId="960" w:customStyle="1">
    <w:name w:val="UserStyle_0"/>
    <w:basedOn w:val="882"/>
    <w:uiPriority w:val="0"/>
    <w:qFormat/>
    <w:pPr>
      <w:numPr>
        <w:ilvl w:val="0"/>
        <w:numId w:val="4"/>
      </w:numPr>
    </w:pPr>
  </w:style>
  <w:style w:type="character" w:styleId="961" w:customStyle="1">
    <w:name w:val="htd0"/>
    <w:uiPriority w:val="0"/>
    <w:qFormat/>
  </w:style>
  <w:style w:type="paragraph" w:styleId="962"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63" w:customStyle="1">
    <w:name w:val="样式11"/>
    <w:basedOn w:val="883"/>
    <w:uiPriority w:val="0"/>
    <w:qFormat/>
    <w:pPr>
      <w:numPr>
        <w:ilvl w:val="0"/>
        <w:numId w:val="5"/>
      </w:numPr>
      <w:jc w:val="left"/>
      <w:spacing w:before="0" w:after="0"/>
    </w:pPr>
    <w:rPr>
      <w:rFonts w:ascii="黑体" w:hAnsi="黑体" w:eastAsia="黑体"/>
      <w:sz w:val="28"/>
      <w:szCs w:val="28"/>
      <w:lang w:val="zh-CN"/>
    </w:rPr>
  </w:style>
  <w:style w:type="paragraph" w:styleId="964" w:customStyle="1">
    <w:name w:val="样式12"/>
    <w:basedOn w:val="963"/>
    <w:uiPriority w:val="0"/>
    <w:qFormat/>
    <w:pPr>
      <w:numPr>
        <w:ilvl w:val="1"/>
      </w:numPr>
      <w:tabs>
        <w:tab w:val="left" w:pos="567" w:leader="none"/>
      </w:tabs>
      <w:outlineLvl w:val="1"/>
    </w:pPr>
  </w:style>
  <w:style w:type="paragraph" w:styleId="965" w:customStyle="1">
    <w:name w:val="表11"/>
    <w:basedOn w:val="882"/>
    <w:uiPriority w:val="0"/>
    <w:qFormat/>
    <w:pPr>
      <w:jc w:val="center"/>
      <w:tabs>
        <w:tab w:val="left" w:pos="4020" w:leader="none"/>
      </w:tabs>
    </w:pPr>
    <w:rPr>
      <w:rFonts w:ascii="黑体" w:hAnsi="黑体"/>
      <w:szCs w:val="24"/>
      <w:lang w:val="zh-CN"/>
    </w:rPr>
  </w:style>
  <w:style w:type="paragraph" w:styleId="966" w:customStyle="1">
    <w:name w:val="样式13"/>
    <w:basedOn w:val="964"/>
    <w:uiPriority w:val="0"/>
    <w:qFormat/>
    <w:pPr>
      <w:numPr>
        <w:ilvl w:val="2"/>
      </w:numPr>
      <w:ind w:left="510" w:hanging="170"/>
      <w:outlineLvl w:val="2"/>
    </w:pPr>
    <w:rPr>
      <w:sz w:val="24"/>
    </w:rPr>
  </w:style>
  <w:style w:type="paragraph" w:styleId="96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8" w:customStyle="1">
    <w:name w:val="其他"/>
    <w:basedOn w:val="882"/>
    <w:uiPriority w:val="0"/>
    <w:qFormat/>
    <w:pPr>
      <w:spacing w:line="266" w:lineRule="exact"/>
      <w:shd w:val="clear" w:color="auto" w:fill="ffffff"/>
    </w:pPr>
    <w:rPr>
      <w:rFonts w:ascii="MingLiU" w:hAnsi="MingLiU" w:eastAsia="MingLiU" w:cs="MingLiU"/>
      <w:sz w:val="20"/>
      <w:szCs w:val="20"/>
      <w:lang w:val="zh-CN" w:bidi="zh-CN"/>
    </w:rPr>
  </w:style>
  <w:style w:type="paragraph" w:styleId="969" w:customStyle="1">
    <w:name w:val="Body text|1"/>
    <w:basedOn w:val="882"/>
    <w:uiPriority w:val="0"/>
    <w:qFormat/>
    <w:pPr>
      <w:spacing w:after="220"/>
    </w:pPr>
    <w:rPr>
      <w:rFonts w:cs="宋体"/>
      <w:sz w:val="22"/>
      <w:lang w:val="zh-TW" w:eastAsia="zh-TW" w:bidi="zh-TW"/>
    </w:rPr>
  </w:style>
  <w:style w:type="paragraph" w:styleId="970" w:customStyle="1">
    <w:name w:val="Other|1"/>
    <w:basedOn w:val="882"/>
    <w:uiPriority w:val="0"/>
    <w:qFormat/>
    <w:pPr>
      <w:jc w:val="center"/>
    </w:pPr>
    <w:rPr>
      <w:rFonts w:cs="宋体"/>
      <w:sz w:val="20"/>
      <w:szCs w:val="20"/>
      <w:lang w:val="zh-TW" w:eastAsia="zh-TW" w:bidi="zh-TW"/>
    </w:rPr>
  </w:style>
  <w:style w:type="paragraph" w:styleId="971" w:customStyle="1">
    <w:name w:val="Table Text"/>
    <w:basedOn w:val="882"/>
    <w:uiPriority w:val="0"/>
    <w:semiHidden/>
    <w:qFormat/>
    <w:rPr>
      <w:rFonts w:ascii="宋体" w:hAnsi="宋体" w:cs="宋体"/>
      <w:sz w:val="24"/>
      <w:szCs w:val="24"/>
      <w:lang w:eastAsia="en-US"/>
    </w:rPr>
  </w:style>
  <w:style w:type="paragraph" w:styleId="972"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73" w:customStyle="1">
    <w:name w:val="纯文本1"/>
    <w:basedOn w:val="882"/>
    <w:uiPriority w:val="99"/>
    <w:qFormat/>
    <w:rPr>
      <w:rFonts w:ascii="宋体" w:hAnsi="Courier New"/>
      <w:sz w:val="20"/>
      <w:szCs w:val="21"/>
    </w:rPr>
  </w:style>
  <w:style w:type="paragraph" w:styleId="974" w:customStyle="1">
    <w:name w:val="2"/>
    <w:next w:val="882"/>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7</cp:revision>
  <dcterms:created xsi:type="dcterms:W3CDTF">2023-11-29T03:36:00Z</dcterms:created>
  <dcterms:modified xsi:type="dcterms:W3CDTF">2026-06-09T07:10:48Z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F11766429A964E51BCBB702FF1F2B501_13</vt:lpwstr>
  </property>
  <property fmtid="{D5CDD505-2E9C-101B-9397-08002B2CF9AE}" pid="4" name="KSOTemplateDocerSaveRecord">
    <vt:lpwstr>eyJoZGlkIjoiZDJlYzhkMzUyNTQ1NmE2ZmRkOGIxNjYxOTQ0N2IzMzMiLCJ1c2VySWQiOiIzMDc2NjU2NDYifQ==</vt:lpwstr>
  </property>
</Properties>
</file>